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zo Sans Md" w:hAnsi="Azo Sans Md" w:cstheme="minorHAnsi"/>
          <w:b/>
          <w:szCs w:val="24"/>
        </w:rPr>
      </w:pPr>
      <w:r>
        <w:rPr>
          <w:rFonts w:ascii="Azo Sans Md" w:hAnsi="Azo Sans Md" w:cstheme="minorHAnsi"/>
          <w:b/>
          <w:szCs w:val="24"/>
        </w:rPr>
        <w:t xml:space="preserve">EDITAL DE PREGÃO ELETRÔNICO Nº </w:t>
      </w:r>
      <w:r>
        <w:rPr>
          <w:rFonts w:hint="default" w:ascii="Azo Sans Md" w:hAnsi="Azo Sans Md" w:cstheme="minorHAnsi"/>
          <w:b/>
          <w:szCs w:val="24"/>
          <w:lang w:val="pt-BR"/>
        </w:rPr>
        <w:t>90.038/2026</w:t>
      </w:r>
    </w:p>
    <w:p>
      <w:pPr>
        <w:rPr>
          <w:rFonts w:ascii="Azo Sans Md" w:hAnsi="Azo Sans Md" w:cstheme="minorHAnsi"/>
          <w:b/>
          <w:szCs w:val="24"/>
        </w:rPr>
      </w:pPr>
      <w:r>
        <w:rPr>
          <w:rFonts w:ascii="Azo Sans Md" w:hAnsi="Azo Sans Md" w:cstheme="minorHAnsi"/>
          <w:b/>
          <w:szCs w:val="24"/>
        </w:rPr>
        <w:t xml:space="preserve">PROCESSO ADMINISTRATIVO Nº </w:t>
      </w:r>
      <w:r>
        <w:rPr>
          <w:rFonts w:hint="default" w:ascii="Azo Sans Md" w:hAnsi="Azo Sans Md" w:cstheme="minorHAnsi"/>
          <w:b/>
          <w:szCs w:val="24"/>
          <w:lang w:val="pt-BR"/>
        </w:rPr>
        <w:t>44.547/2026</w:t>
      </w:r>
    </w:p>
    <w:p>
      <w:pPr>
        <w:rPr>
          <w:rFonts w:ascii="Azo Sans Lt" w:hAnsi="Azo Sans Lt" w:cstheme="minorHAnsi"/>
          <w:b/>
          <w:szCs w:val="24"/>
        </w:rPr>
      </w:pPr>
      <w:r>
        <w:rPr>
          <w:rFonts w:ascii="Azo Sans Md" w:hAnsi="Azo Sans Md" w:cstheme="minorHAnsi"/>
          <w:b/>
          <w:szCs w:val="24"/>
        </w:rPr>
        <w:t>MODALIDADE:</w:t>
      </w:r>
      <w:r>
        <w:rPr>
          <w:rFonts w:ascii="Azo Sans Lt" w:hAnsi="Azo Sans Lt" w:cstheme="minorHAnsi"/>
          <w:b/>
          <w:szCs w:val="24"/>
        </w:rPr>
        <w:t xml:space="preserve"> </w:t>
      </w:r>
      <w:r>
        <w:rPr>
          <w:rFonts w:ascii="Azo Sans Lt" w:hAnsi="Azo Sans Lt" w:cstheme="minorHAnsi"/>
          <w:szCs w:val="24"/>
        </w:rPr>
        <w:t>PREGÃO ELETRÔNICO</w:t>
      </w:r>
    </w:p>
    <w:p>
      <w:pPr>
        <w:rPr>
          <w:rFonts w:hint="default" w:ascii="Azo Sans Lt" w:hAnsi="Azo Sans Lt"/>
          <w:sz w:val="22"/>
          <w:szCs w:val="22"/>
          <w:lang w:val="pt-BR"/>
        </w:rPr>
      </w:pPr>
      <w:r>
        <w:rPr>
          <w:rFonts w:ascii="Azo Sans Md" w:hAnsi="Azo Sans Md" w:cstheme="minorHAnsi"/>
          <w:b/>
          <w:szCs w:val="24"/>
        </w:rPr>
        <w:t>TIPO</w:t>
      </w:r>
      <w:r>
        <w:rPr>
          <w:rFonts w:ascii="Azo Sans Md" w:hAnsi="Azo Sans Md" w:cstheme="minorHAnsi"/>
          <w:b/>
          <w:bCs/>
          <w:szCs w:val="24"/>
        </w:rPr>
        <w:t>:</w:t>
      </w:r>
      <w:r>
        <w:rPr>
          <w:rFonts w:ascii="Azo Sans Lt" w:hAnsi="Azo Sans Lt" w:cstheme="minorHAnsi"/>
          <w:b/>
          <w:bCs/>
          <w:szCs w:val="24"/>
        </w:rPr>
        <w:t xml:space="preserve"> </w:t>
      </w:r>
      <w:r>
        <w:rPr>
          <w:rFonts w:ascii="Azo Sans Lt" w:hAnsi="Azo Sans Lt" w:cs="Calibri"/>
          <w:bCs/>
          <w:color w:val="auto"/>
          <w:sz w:val="22"/>
          <w:szCs w:val="22"/>
        </w:rPr>
        <w:t xml:space="preserve">MENOR PREÇO </w:t>
      </w:r>
      <w:r>
        <w:rPr>
          <w:rFonts w:hint="default" w:ascii="Azo Sans Lt" w:hAnsi="Azo Sans Lt" w:cs="Calibri"/>
          <w:bCs/>
          <w:color w:val="auto"/>
          <w:sz w:val="22"/>
          <w:szCs w:val="22"/>
          <w:lang w:val="pt-BR"/>
        </w:rPr>
        <w:t>POR LOTE</w:t>
      </w:r>
    </w:p>
    <w:p>
      <w:pPr>
        <w:ind w:left="0" w:leftChars="0" w:firstLine="0" w:firstLineChars="0"/>
        <w:jc w:val="both"/>
        <w:rPr>
          <w:rFonts w:hint="default" w:ascii="Azo Sans Md" w:hAnsi="Azo Sans Md" w:cs="Calibri"/>
          <w:b/>
          <w:sz w:val="22"/>
          <w:szCs w:val="22"/>
          <w:lang w:val="en-US"/>
        </w:rPr>
      </w:pPr>
      <w:r>
        <w:rPr>
          <w:rFonts w:ascii="Azo Sans Md" w:hAnsi="Azo Sans Md" w:cstheme="minorHAnsi"/>
          <w:b/>
          <w:szCs w:val="24"/>
        </w:rPr>
        <w:t xml:space="preserve">OBJETO: </w:t>
      </w:r>
      <w:r>
        <w:rPr>
          <w:rFonts w:ascii="Azo Sans Md" w:hAnsi="Azo Sans Md" w:eastAsia="Times New Roman" w:cstheme="minorHAnsi"/>
          <w:b/>
          <w:szCs w:val="24"/>
          <w:lang w:val="pt-BR" w:eastAsia="pt-BR"/>
        </w:rPr>
        <w:t>REGISTRO DE PREÇOS para futura e eventual CONTRATAÇÃO DE EMPRESA</w:t>
      </w:r>
      <w:r>
        <w:rPr>
          <w:rFonts w:hint="default" w:ascii="Azo Sans Md" w:hAnsi="Azo Sans Md" w:eastAsia="Times New Roman" w:cstheme="minorHAnsi"/>
          <w:b/>
          <w:szCs w:val="24"/>
          <w:lang w:val="en-US" w:eastAsia="pt-BR"/>
        </w:rPr>
        <w:t xml:space="preserve"> </w:t>
      </w:r>
      <w:r>
        <w:rPr>
          <w:rFonts w:ascii="Azo Sans Md" w:hAnsi="Azo Sans Md" w:eastAsia="Times New Roman" w:cstheme="minorHAnsi"/>
          <w:b/>
          <w:szCs w:val="24"/>
          <w:lang w:val="pt-BR" w:eastAsia="pt-BR"/>
        </w:rPr>
        <w:t>ESPECIALIZADA PARA O FORNECIMENTO DE EQUIPAMENTOS ODONTOLÓGICOS PERMANENTES, DESTINADOS À MODERNIZAÇÃO, REPOSIÇÃO E EXPANSÃO DA INFRAESTRUTURA DA REDE MUNICIPAL DE SAÚDE BUCAL DA SECRETARIA MUNICIPAL DE SAÚDE DE NOVA FRIBURGO, PELO PERÍODO DE</w:t>
      </w:r>
      <w:bookmarkStart w:id="0" w:name="__DdeLink__668_3221334588"/>
      <w:bookmarkStart w:id="1" w:name="__DdeLink__2205_1530975333"/>
      <w:r>
        <w:rPr>
          <w:rFonts w:ascii="Azo Sans Md" w:hAnsi="Azo Sans Md" w:eastAsia="Times New Roman" w:cstheme="minorHAnsi"/>
          <w:b/>
          <w:szCs w:val="24"/>
          <w:lang w:val="pt-BR" w:eastAsia="pt-BR"/>
        </w:rPr>
        <w:t xml:space="preserve"> 1 (UM) </w:t>
      </w:r>
      <w:bookmarkEnd w:id="0"/>
      <w:r>
        <w:rPr>
          <w:rFonts w:ascii="Azo Sans Md" w:hAnsi="Azo Sans Md" w:eastAsia="Times New Roman" w:cstheme="minorHAnsi"/>
          <w:b/>
          <w:szCs w:val="24"/>
          <w:lang w:val="pt-BR" w:eastAsia="pt-BR"/>
        </w:rPr>
        <w:t>ANO</w:t>
      </w:r>
      <w:bookmarkEnd w:id="1"/>
      <w:r>
        <w:rPr>
          <w:rFonts w:hint="default" w:ascii="Azo Sans Md" w:hAnsi="Azo Sans Md" w:eastAsia="Times New Roman" w:cstheme="minorHAnsi"/>
          <w:b/>
          <w:szCs w:val="24"/>
          <w:lang w:val="en-US" w:eastAsia="pt-BR"/>
        </w:rPr>
        <w:t>.</w:t>
      </w:r>
    </w:p>
    <w:p>
      <w:pPr>
        <w:ind w:left="0" w:firstLine="0"/>
        <w:rPr>
          <w:rFonts w:ascii="Azo Sans Md" w:hAnsi="Azo Sans Md" w:cstheme="minorHAnsi"/>
          <w:b/>
          <w:szCs w:val="24"/>
        </w:rPr>
      </w:pPr>
    </w:p>
    <w:p>
      <w:pPr>
        <w:ind w:left="0" w:firstLine="0"/>
        <w:rPr>
          <w:rFonts w:ascii="Azo Sans Md" w:hAnsi="Azo Sans Md"/>
          <w:sz w:val="22"/>
          <w:szCs w:val="22"/>
        </w:rPr>
      </w:pPr>
    </w:p>
    <w:p>
      <w:pPr>
        <w:ind w:left="283"/>
        <w:jc w:val="center"/>
        <w:rPr>
          <w:rFonts w:ascii="Azo Sans Lt" w:hAnsi="Azo Sans Lt" w:cstheme="minorHAnsi"/>
          <w:b/>
          <w:szCs w:val="24"/>
        </w:rPr>
      </w:pPr>
      <w:r>
        <w:rPr>
          <w:rFonts w:ascii="Azo Sans Lt" w:hAnsi="Azo Sans Lt" w:cstheme="minorHAnsi"/>
          <w:b/>
          <w:szCs w:val="24"/>
        </w:rPr>
        <w:t>ANEXO – III</w:t>
      </w:r>
    </w:p>
    <w:p>
      <w:pPr>
        <w:ind w:left="283"/>
        <w:jc w:val="center"/>
        <w:rPr>
          <w:rFonts w:ascii="Azo Sans Lt" w:hAnsi="Azo Sans Lt" w:cstheme="minorHAnsi"/>
          <w:b/>
          <w:caps/>
          <w:szCs w:val="24"/>
        </w:rPr>
      </w:pPr>
      <w:r>
        <w:rPr>
          <w:rFonts w:ascii="Azo Sans Lt" w:hAnsi="Azo Sans Lt" w:cstheme="minorHAnsi"/>
          <w:b/>
          <w:caps/>
          <w:szCs w:val="24"/>
        </w:rPr>
        <w:t>Modelo de proposta DE PREÇO</w:t>
      </w:r>
    </w:p>
    <w:p>
      <w:pPr>
        <w:ind w:left="283"/>
        <w:jc w:val="center"/>
        <w:rPr>
          <w:rFonts w:ascii="Azo Sans Lt" w:hAnsi="Azo Sans Lt" w:cstheme="minorHAnsi"/>
          <w:b/>
          <w:szCs w:val="24"/>
        </w:rPr>
      </w:pPr>
      <w:r>
        <w:rPr>
          <w:rFonts w:ascii="Azo Sans Lt" w:hAnsi="Azo Sans Lt" w:cstheme="minorHAnsi"/>
          <w:b/>
          <w:szCs w:val="24"/>
        </w:rPr>
        <w:t>(uso obrigatório por todas as licitantes)</w:t>
      </w:r>
    </w:p>
    <w:p>
      <w:pPr>
        <w:ind w:left="283"/>
        <w:jc w:val="center"/>
        <w:rPr>
          <w:rFonts w:ascii="Azo Sans Lt" w:hAnsi="Azo Sans Lt" w:cstheme="minorHAnsi"/>
          <w:b/>
          <w:bCs/>
          <w:szCs w:val="24"/>
        </w:rPr>
      </w:pPr>
      <w:r>
        <w:rPr>
          <w:rFonts w:ascii="Azo Sans Lt" w:hAnsi="Azo Sans Lt" w:cstheme="minorHAnsi"/>
          <w:b/>
          <w:bCs/>
          <w:szCs w:val="24"/>
        </w:rPr>
        <w:t>(papel timbrado da licitante)</w:t>
      </w:r>
    </w:p>
    <w:p>
      <w:pPr>
        <w:rPr>
          <w:rFonts w:ascii="Azo Sans Lt" w:hAnsi="Azo Sans Lt" w:cstheme="minorHAnsi"/>
          <w:b/>
          <w:sz w:val="22"/>
        </w:rPr>
      </w:pPr>
    </w:p>
    <w:p>
      <w:pPr>
        <w:rPr>
          <w:rFonts w:ascii="Azo Sans Lt" w:hAnsi="Azo Sans Lt" w:cstheme="minorHAnsi"/>
          <w:b/>
          <w:sz w:val="22"/>
        </w:rPr>
      </w:pPr>
    </w:p>
    <w:p>
      <w:pPr>
        <w:ind w:left="0" w:firstLine="0"/>
        <w:rPr>
          <w:rFonts w:ascii="Azo Sans Lt" w:hAnsi="Azo Sans Lt" w:cstheme="minorHAnsi"/>
          <w:sz w:val="22"/>
          <w:szCs w:val="22"/>
        </w:rPr>
      </w:pPr>
      <w:r>
        <w:rPr>
          <w:rFonts w:ascii="Azo Sans Lt" w:hAnsi="Azo Sans Lt" w:cstheme="minorHAnsi"/>
          <w:sz w:val="22"/>
          <w:szCs w:val="22"/>
        </w:rPr>
        <w:t xml:space="preserve">A empresa ..............................., estabelecida na (endereço completo, telefone e endereço eletrônico, se houver), inscrita no CNPJ sob nº ......................., neste ato representada por ............................., </w:t>
      </w:r>
      <w:r>
        <w:rPr>
          <w:rFonts w:ascii="Azo Sans Lt" w:hAnsi="Azo Sans Lt" w:cstheme="minorHAnsi"/>
          <w:sz w:val="22"/>
          <w:szCs w:val="22"/>
          <w:u w:val="single"/>
        </w:rPr>
        <w:t>cargo</w:t>
      </w:r>
      <w:r>
        <w:rPr>
          <w:rFonts w:ascii="Azo Sans Lt" w:hAnsi="Azo Sans Lt" w:cstheme="minorHAnsi"/>
          <w:sz w:val="22"/>
          <w:szCs w:val="22"/>
        </w:rPr>
        <w:t xml:space="preserve">, RG.................., CPF.................., </w:t>
      </w:r>
      <w:r>
        <w:rPr>
          <w:rFonts w:ascii="Azo Sans Lt" w:hAnsi="Azo Sans Lt" w:cstheme="minorHAnsi"/>
          <w:sz w:val="22"/>
          <w:szCs w:val="22"/>
          <w:u w:val="single"/>
        </w:rPr>
        <w:t>(endereço)</w:t>
      </w:r>
      <w:r>
        <w:rPr>
          <w:rFonts w:ascii="Azo Sans Lt" w:hAnsi="Azo Sans Lt" w:cstheme="minorHAnsi"/>
          <w:sz w:val="22"/>
          <w:szCs w:val="22"/>
        </w:rPr>
        <w:t xml:space="preserve">, vem por meio desta, apresentar Proposta de Preços ao Edital de </w:t>
      </w:r>
      <w:r>
        <w:rPr>
          <w:rFonts w:ascii="Azo Sans Md" w:hAnsi="Azo Sans Md" w:cstheme="minorHAnsi"/>
          <w:b/>
        </w:rPr>
        <w:t xml:space="preserve">Pregão Eletrônico nº </w:t>
      </w:r>
      <w:r>
        <w:rPr>
          <w:rFonts w:hint="default" w:ascii="Azo Sans Md" w:hAnsi="Azo Sans Md" w:cstheme="minorHAnsi"/>
          <w:b/>
          <w:lang w:val="pt-BR"/>
        </w:rPr>
        <w:t>90.038/2026</w:t>
      </w:r>
      <w:r>
        <w:rPr>
          <w:rFonts w:ascii="Azo Sans Md" w:hAnsi="Azo Sans Md" w:cstheme="minorHAnsi"/>
          <w:bCs/>
        </w:rPr>
        <w:t>,</w:t>
      </w:r>
      <w:r>
        <w:rPr>
          <w:rFonts w:ascii="Azo Sans Lt" w:hAnsi="Azo Sans Lt" w:cstheme="minorHAnsi"/>
          <w:bCs/>
          <w:sz w:val="22"/>
          <w:szCs w:val="22"/>
        </w:rPr>
        <w:t xml:space="preserve"> </w:t>
      </w:r>
      <w:r>
        <w:rPr>
          <w:rFonts w:ascii="Azo Sans Lt" w:hAnsi="Azo Sans Lt" w:cstheme="minorHAnsi"/>
          <w:sz w:val="22"/>
          <w:szCs w:val="22"/>
        </w:rPr>
        <w:t>em epígrafe, que tem por objeto o</w:t>
      </w:r>
      <w:r>
        <w:rPr>
          <w:rFonts w:hint="default" w:ascii="Azo Sans Lt" w:hAnsi="Azo Sans Lt" w:cstheme="minorHAnsi"/>
          <w:sz w:val="22"/>
          <w:szCs w:val="22"/>
          <w:lang w:val="pt-BR"/>
        </w:rPr>
        <w:t xml:space="preserve"> </w:t>
      </w:r>
      <w:r>
        <w:rPr>
          <w:rFonts w:ascii="Azo Sans Md" w:hAnsi="Azo Sans Md" w:eastAsia="Times New Roman" w:cstheme="minorHAnsi"/>
          <w:b/>
          <w:szCs w:val="24"/>
          <w:lang w:val="pt-BR" w:eastAsia="pt-BR"/>
        </w:rPr>
        <w:t>REGISTRO DE PREÇOS para futura e eventual CONTRATAÇÃO DE EMPRESA</w:t>
      </w:r>
      <w:r>
        <w:rPr>
          <w:rFonts w:hint="default" w:ascii="Azo Sans Md" w:hAnsi="Azo Sans Md" w:eastAsia="Times New Roman" w:cstheme="minorHAnsi"/>
          <w:b/>
          <w:szCs w:val="24"/>
          <w:lang w:val="en-US" w:eastAsia="pt-BR"/>
        </w:rPr>
        <w:t xml:space="preserve"> </w:t>
      </w:r>
      <w:r>
        <w:rPr>
          <w:rFonts w:ascii="Azo Sans Md" w:hAnsi="Azo Sans Md" w:eastAsia="Times New Roman" w:cstheme="minorHAnsi"/>
          <w:b/>
          <w:szCs w:val="24"/>
          <w:lang w:val="pt-BR" w:eastAsia="pt-BR"/>
        </w:rPr>
        <w:t>ESPECIALIZADA PARA O FORNECIMENTO DE EQUIPAMENTOS ODONTOLÓGICOS PERMANENTES, DESTINADOS À MODERNIZAÇÃO, REPOSIÇÃO E EXPANSÃO DA INFRAESTRUTURA DA REDE MUNICIPAL DE SAÚDE BUCAL DA SECRETARIA MUNICIPAL DE SAÚDE DE NOVA FRIBURGO, PELO PERÍODO DE 1 (UM) ANO</w:t>
      </w:r>
      <w:r>
        <w:rPr>
          <w:rFonts w:ascii="Azo Sans Lt" w:hAnsi="Azo Sans Lt" w:cstheme="minorHAnsi"/>
          <w:sz w:val="22"/>
          <w:szCs w:val="22"/>
        </w:rPr>
        <w:t>, conforme segue:</w:t>
      </w:r>
    </w:p>
    <w:p>
      <w:pPr>
        <w:ind w:left="0" w:firstLine="0"/>
        <w:rPr>
          <w:rFonts w:ascii="Azo Sans Lt" w:hAnsi="Azo Sans Lt" w:cstheme="minorHAnsi"/>
          <w:sz w:val="22"/>
          <w:szCs w:val="22"/>
        </w:rPr>
      </w:pPr>
    </w:p>
    <w:p>
      <w:pPr>
        <w:ind w:left="0" w:firstLine="0"/>
        <w:rPr>
          <w:rFonts w:ascii="Azo Sans Lt" w:hAnsi="Azo Sans Lt" w:cstheme="minorHAnsi"/>
          <w:sz w:val="22"/>
          <w:szCs w:val="22"/>
        </w:rPr>
      </w:pPr>
    </w:p>
    <w:tbl>
      <w:tblPr>
        <w:tblStyle w:val="16"/>
        <w:tblpPr w:leftFromText="141" w:rightFromText="141" w:vertAnchor="text" w:tblpX="-838" w:tblpY="1"/>
        <w:tblOverlap w:val="never"/>
        <w:tblW w:w="57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bottom w:val="single" w:color="auto" w:sz="4" w:space="0"/>
            </w:tcBorders>
            <w:shd w:val="clear" w:color="auto" w:fill="D8D8D8"/>
          </w:tcPr>
          <w:p>
            <w:pPr>
              <w:pStyle w:val="31"/>
              <w:spacing w:after="0" w:line="240" w:lineRule="auto"/>
              <w:ind w:left="0"/>
              <w:jc w:val="center"/>
              <w:rPr>
                <w:b/>
                <w:szCs w:val="28"/>
              </w:rPr>
            </w:pPr>
            <w:r>
              <w:rPr>
                <w:b/>
              </w:rPr>
              <w:t>LOTE</w:t>
            </w:r>
            <w:r>
              <w:rPr>
                <w:b/>
                <w:spacing w:val="-12"/>
              </w:rPr>
              <w:t xml:space="preserve"> </w:t>
            </w:r>
            <w:r>
              <w:rPr>
                <w:b/>
              </w:rPr>
              <w:t>01:</w:t>
            </w:r>
            <w:r>
              <w:rPr>
                <w:b/>
                <w:spacing w:val="-12"/>
              </w:rPr>
              <w:t xml:space="preserve"> </w:t>
            </w:r>
            <w:r>
              <w:rPr>
                <w:b/>
              </w:rPr>
              <w:t>MÁQUINAS</w:t>
            </w:r>
            <w:r>
              <w:rPr>
                <w:b/>
                <w:spacing w:val="-10"/>
              </w:rPr>
              <w:t xml:space="preserve"> </w:t>
            </w:r>
            <w:r>
              <w:rPr>
                <w:b/>
              </w:rPr>
              <w:t>E</w:t>
            </w:r>
            <w:r>
              <w:rPr>
                <w:b/>
                <w:spacing w:val="-10"/>
              </w:rPr>
              <w:t xml:space="preserve"> </w:t>
            </w:r>
            <w:r>
              <w:rPr>
                <w:b/>
              </w:rPr>
              <w:t>EQUIPAMENTOS</w:t>
            </w:r>
            <w:r>
              <w:rPr>
                <w:b/>
                <w:spacing w:val="-12"/>
              </w:rPr>
              <w:t xml:space="preserve"> </w:t>
            </w:r>
            <w:r>
              <w:rPr>
                <w:b/>
                <w:spacing w:val="-2"/>
              </w:rPr>
              <w:t>ODONTOLÓGICOS</w:t>
            </w:r>
          </w:p>
        </w:tc>
      </w:tr>
    </w:tbl>
    <w:tbl>
      <w:tblPr>
        <w:tblStyle w:val="16"/>
        <w:tblpPr w:leftFromText="141" w:rightFromText="141" w:vertAnchor="text" w:tblpX="-853" w:tblpY="1"/>
        <w:tblOverlap w:val="never"/>
        <w:tblW w:w="57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4680"/>
        <w:gridCol w:w="1185"/>
        <w:gridCol w:w="840"/>
        <w:gridCol w:w="1065"/>
        <w:gridCol w:w="1170"/>
        <w:gridCol w:w="10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9" w:type="pct"/>
            <w:vMerge w:val="restart"/>
            <w:tcBorders>
              <w:bottom w:val="single" w:color="auto" w:sz="4" w:space="0"/>
              <w:right w:val="single" w:color="auto" w:sz="4" w:space="0"/>
            </w:tcBorders>
            <w:shd w:val="clear" w:color="auto" w:fill="D8D8D8"/>
            <w:vAlign w:val="center"/>
          </w:tcPr>
          <w:p>
            <w:pPr>
              <w:pStyle w:val="31"/>
              <w:spacing w:after="0" w:line="240" w:lineRule="auto"/>
              <w:ind w:left="0"/>
              <w:jc w:val="center"/>
              <w:rPr>
                <w:b/>
                <w:bCs/>
                <w:sz w:val="20"/>
                <w:szCs w:val="20"/>
              </w:rPr>
            </w:pPr>
            <w:r>
              <w:rPr>
                <w:b/>
                <w:bCs/>
                <w:sz w:val="20"/>
                <w:szCs w:val="20"/>
              </w:rPr>
              <w:t>ITEM</w:t>
            </w:r>
          </w:p>
        </w:tc>
        <w:tc>
          <w:tcPr>
            <w:tcW w:w="2172" w:type="pct"/>
            <w:vMerge w:val="restart"/>
            <w:tcBorders>
              <w:left w:val="single" w:color="auto" w:sz="4" w:space="0"/>
              <w:bottom w:val="single" w:color="auto" w:sz="4" w:space="0"/>
              <w:right w:val="single" w:color="auto" w:sz="4" w:space="0"/>
            </w:tcBorders>
            <w:shd w:val="clear" w:color="auto" w:fill="D8D8D8"/>
            <w:vAlign w:val="center"/>
          </w:tcPr>
          <w:p>
            <w:pPr>
              <w:pStyle w:val="31"/>
              <w:spacing w:after="0" w:line="240" w:lineRule="auto"/>
              <w:ind w:left="0"/>
              <w:jc w:val="center"/>
              <w:rPr>
                <w:b/>
                <w:szCs w:val="28"/>
              </w:rPr>
            </w:pPr>
            <w:r>
              <w:rPr>
                <w:b/>
                <w:szCs w:val="28"/>
              </w:rPr>
              <w:t>ESPECIFICAÇÃO</w:t>
            </w:r>
          </w:p>
        </w:tc>
        <w:tc>
          <w:tcPr>
            <w:tcW w:w="550" w:type="pct"/>
            <w:vMerge w:val="restart"/>
            <w:tcBorders>
              <w:left w:val="single" w:color="auto" w:sz="4" w:space="0"/>
              <w:right w:val="single" w:color="auto" w:sz="4" w:space="0"/>
            </w:tcBorders>
            <w:shd w:val="clear" w:color="auto" w:fill="D8D8D8"/>
            <w:vAlign w:val="center"/>
          </w:tcPr>
          <w:p>
            <w:pPr>
              <w:pStyle w:val="31"/>
              <w:spacing w:after="0" w:line="240" w:lineRule="auto"/>
              <w:ind w:left="0"/>
              <w:jc w:val="center"/>
              <w:rPr>
                <w:b/>
                <w:szCs w:val="28"/>
              </w:rPr>
            </w:pPr>
            <w:r>
              <w:rPr>
                <w:b/>
                <w:szCs w:val="28"/>
              </w:rPr>
              <w:t>MARCA</w:t>
            </w:r>
          </w:p>
        </w:tc>
        <w:tc>
          <w:tcPr>
            <w:tcW w:w="390" w:type="pct"/>
            <w:vMerge w:val="restart"/>
            <w:tcBorders>
              <w:left w:val="single" w:color="auto" w:sz="4" w:space="0"/>
              <w:bottom w:val="single" w:color="auto" w:sz="4" w:space="0"/>
              <w:right w:val="single" w:color="auto" w:sz="4" w:space="0"/>
            </w:tcBorders>
            <w:shd w:val="clear" w:color="auto" w:fill="D8D8D8"/>
            <w:vAlign w:val="center"/>
          </w:tcPr>
          <w:p>
            <w:pPr>
              <w:pStyle w:val="31"/>
              <w:spacing w:after="0" w:line="240" w:lineRule="auto"/>
              <w:ind w:left="0"/>
              <w:jc w:val="center"/>
              <w:rPr>
                <w:b/>
                <w:szCs w:val="28"/>
              </w:rPr>
            </w:pPr>
            <w:r>
              <w:rPr>
                <w:b/>
                <w:szCs w:val="28"/>
              </w:rPr>
              <w:t>U/C</w:t>
            </w:r>
          </w:p>
        </w:tc>
        <w:tc>
          <w:tcPr>
            <w:tcW w:w="494" w:type="pct"/>
            <w:vMerge w:val="restart"/>
            <w:tcBorders>
              <w:left w:val="single" w:color="auto" w:sz="4" w:space="0"/>
              <w:bottom w:val="single" w:color="auto" w:sz="4" w:space="0"/>
              <w:right w:val="single" w:color="auto" w:sz="4" w:space="0"/>
            </w:tcBorders>
            <w:shd w:val="clear" w:color="auto" w:fill="D8D8D8"/>
            <w:vAlign w:val="center"/>
          </w:tcPr>
          <w:p>
            <w:pPr>
              <w:pStyle w:val="31"/>
              <w:spacing w:after="0" w:line="240" w:lineRule="auto"/>
              <w:ind w:left="0"/>
              <w:jc w:val="center"/>
              <w:rPr>
                <w:b/>
                <w:szCs w:val="28"/>
              </w:rPr>
            </w:pPr>
            <w:r>
              <w:rPr>
                <w:b/>
                <w:szCs w:val="28"/>
              </w:rPr>
              <w:t>QTDE</w:t>
            </w:r>
          </w:p>
        </w:tc>
        <w:tc>
          <w:tcPr>
            <w:tcW w:w="1023" w:type="pct"/>
            <w:gridSpan w:val="2"/>
            <w:tcBorders>
              <w:left w:val="single" w:color="auto" w:sz="4" w:space="0"/>
              <w:bottom w:val="single" w:color="auto" w:sz="4" w:space="0"/>
            </w:tcBorders>
            <w:shd w:val="clear" w:color="auto" w:fill="D8D8D8"/>
          </w:tcPr>
          <w:p>
            <w:pPr>
              <w:pStyle w:val="31"/>
              <w:spacing w:after="0" w:line="240" w:lineRule="auto"/>
              <w:ind w:left="0"/>
              <w:jc w:val="center"/>
              <w:rPr>
                <w:b/>
                <w:szCs w:val="28"/>
              </w:rPr>
            </w:pPr>
            <w:r>
              <w:rPr>
                <w:b/>
                <w:szCs w:val="28"/>
              </w:rPr>
              <w:t>PREÇO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9" w:type="pct"/>
            <w:vMerge w:val="continue"/>
          </w:tcPr>
          <w:p>
            <w:pPr>
              <w:pStyle w:val="31"/>
              <w:spacing w:after="0" w:line="240" w:lineRule="auto"/>
              <w:ind w:left="0"/>
              <w:jc w:val="center"/>
              <w:rPr>
                <w:b/>
                <w:color w:val="FFFFFF" w:themeColor="background1"/>
                <w:sz w:val="20"/>
                <w:szCs w:val="28"/>
                <w14:textFill>
                  <w14:solidFill>
                    <w14:schemeClr w14:val="bg1"/>
                  </w14:solidFill>
                </w14:textFill>
              </w:rPr>
            </w:pPr>
          </w:p>
        </w:tc>
        <w:tc>
          <w:tcPr>
            <w:tcW w:w="2172" w:type="pct"/>
            <w:vMerge w:val="continue"/>
          </w:tcPr>
          <w:p>
            <w:pPr>
              <w:pStyle w:val="31"/>
              <w:spacing w:after="0" w:line="240" w:lineRule="auto"/>
              <w:ind w:left="0"/>
              <w:jc w:val="center"/>
              <w:rPr>
                <w:b/>
                <w:color w:val="FFFFFF" w:themeColor="background1"/>
                <w:sz w:val="20"/>
                <w:szCs w:val="28"/>
                <w14:textFill>
                  <w14:solidFill>
                    <w14:schemeClr w14:val="bg1"/>
                  </w14:solidFill>
                </w14:textFill>
              </w:rPr>
            </w:pPr>
          </w:p>
        </w:tc>
        <w:tc>
          <w:tcPr>
            <w:tcW w:w="550" w:type="pct"/>
            <w:vMerge w:val="continue"/>
          </w:tcPr>
          <w:p>
            <w:pPr>
              <w:pStyle w:val="31"/>
              <w:spacing w:after="0" w:line="240" w:lineRule="auto"/>
              <w:ind w:left="0"/>
              <w:jc w:val="center"/>
              <w:rPr>
                <w:b/>
                <w:color w:val="FFFFFF" w:themeColor="background1"/>
                <w:sz w:val="20"/>
                <w:szCs w:val="28"/>
                <w14:textFill>
                  <w14:solidFill>
                    <w14:schemeClr w14:val="bg1"/>
                  </w14:solidFill>
                </w14:textFill>
              </w:rPr>
            </w:pPr>
          </w:p>
        </w:tc>
        <w:tc>
          <w:tcPr>
            <w:tcW w:w="390" w:type="pct"/>
            <w:vMerge w:val="continue"/>
            <w:vAlign w:val="center"/>
          </w:tcPr>
          <w:p>
            <w:pPr>
              <w:pStyle w:val="31"/>
              <w:spacing w:after="0" w:line="240" w:lineRule="auto"/>
              <w:ind w:left="0"/>
              <w:jc w:val="center"/>
              <w:rPr>
                <w:b/>
                <w:color w:val="FFFFFF" w:themeColor="background1"/>
                <w:sz w:val="20"/>
                <w:szCs w:val="28"/>
                <w14:textFill>
                  <w14:solidFill>
                    <w14:schemeClr w14:val="bg1"/>
                  </w14:solidFill>
                </w14:textFill>
              </w:rPr>
            </w:pPr>
          </w:p>
        </w:tc>
        <w:tc>
          <w:tcPr>
            <w:tcW w:w="494" w:type="pct"/>
            <w:vMerge w:val="continue"/>
            <w:vAlign w:val="center"/>
          </w:tcPr>
          <w:p>
            <w:pPr>
              <w:pStyle w:val="31"/>
              <w:spacing w:after="0" w:line="240" w:lineRule="auto"/>
              <w:ind w:left="0"/>
              <w:jc w:val="center"/>
              <w:rPr>
                <w:b/>
                <w:color w:val="FFFFFF" w:themeColor="background1"/>
                <w:sz w:val="20"/>
                <w:szCs w:val="28"/>
                <w14:textFill>
                  <w14:solidFill>
                    <w14:schemeClr w14:val="bg1"/>
                  </w14:solidFill>
                </w14:textFill>
              </w:rPr>
            </w:pPr>
          </w:p>
        </w:tc>
        <w:tc>
          <w:tcPr>
            <w:tcW w:w="543" w:type="pct"/>
            <w:tcBorders>
              <w:top w:val="single" w:color="auto" w:sz="4" w:space="0"/>
              <w:left w:val="single" w:color="auto" w:sz="4" w:space="0"/>
              <w:right w:val="single" w:color="auto" w:sz="4" w:space="0"/>
            </w:tcBorders>
            <w:shd w:val="clear" w:color="auto" w:fill="D8D8D8"/>
            <w:vAlign w:val="center"/>
          </w:tcPr>
          <w:p>
            <w:pPr>
              <w:pStyle w:val="31"/>
              <w:spacing w:after="0" w:line="240" w:lineRule="auto"/>
              <w:ind w:left="0"/>
              <w:jc w:val="center"/>
              <w:rPr>
                <w:b/>
                <w:sz w:val="18"/>
                <w:szCs w:val="28"/>
              </w:rPr>
            </w:pPr>
            <w:r>
              <w:rPr>
                <w:b/>
                <w:sz w:val="18"/>
                <w:szCs w:val="28"/>
              </w:rPr>
              <w:t>UNITÁRIO</w:t>
            </w:r>
          </w:p>
        </w:tc>
        <w:tc>
          <w:tcPr>
            <w:tcW w:w="480" w:type="pct"/>
            <w:tcBorders>
              <w:top w:val="single" w:color="auto" w:sz="4" w:space="0"/>
              <w:left w:val="single" w:color="auto" w:sz="4" w:space="0"/>
            </w:tcBorders>
            <w:shd w:val="clear" w:color="auto" w:fill="D8D8D8"/>
            <w:vAlign w:val="center"/>
          </w:tcPr>
          <w:p>
            <w:pPr>
              <w:pStyle w:val="31"/>
              <w:spacing w:after="0" w:line="240" w:lineRule="auto"/>
              <w:ind w:left="0"/>
              <w:jc w:val="center"/>
              <w:rPr>
                <w:b/>
                <w:sz w:val="18"/>
                <w:szCs w:val="28"/>
              </w:rPr>
            </w:pPr>
            <w:r>
              <w:rPr>
                <w:b/>
                <w:sz w:val="18"/>
                <w:szCs w:val="28"/>
              </w:rPr>
              <w:t>TOTAL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trPr>
        <w:tc>
          <w:tcPr>
            <w:tcW w:w="369" w:type="pct"/>
            <w:vAlign w:val="center"/>
          </w:tcPr>
          <w:p>
            <w:pPr>
              <w:spacing w:after="0" w:line="240" w:lineRule="auto"/>
              <w:jc w:val="center"/>
              <w:rPr>
                <w:b/>
                <w:bCs/>
                <w:sz w:val="20"/>
                <w:szCs w:val="20"/>
              </w:rPr>
            </w:pPr>
            <w:r>
              <w:rPr>
                <w:b/>
                <w:bCs/>
                <w:sz w:val="20"/>
                <w:szCs w:val="20"/>
              </w:rPr>
              <w:t>01</w:t>
            </w:r>
          </w:p>
        </w:tc>
        <w:tc>
          <w:tcPr>
            <w:tcW w:w="2172" w:type="pct"/>
            <w:vAlign w:val="center"/>
          </w:tcPr>
          <w:p>
            <w:pPr>
              <w:spacing w:after="0"/>
              <w:ind w:left="0" w:leftChars="0" w:hanging="108" w:firstLineChars="0"/>
              <w:jc w:val="both"/>
            </w:pPr>
            <w:r>
              <w:rPr>
                <w:rFonts w:ascii="Calibri" w:hAnsi="Calibri" w:eastAsia="Calibri" w:cs="Calibri"/>
                <w:b/>
                <w:bCs/>
                <w:lang w:val="pt"/>
              </w:rPr>
              <w:t>APARELHO FOTOPOLIMERIZADOR -</w:t>
            </w:r>
          </w:p>
          <w:p>
            <w:pPr>
              <w:spacing w:after="0"/>
              <w:ind w:left="0" w:leftChars="0" w:right="100" w:hanging="108" w:firstLineChars="0"/>
              <w:jc w:val="both"/>
            </w:pPr>
            <w:r>
              <w:rPr>
                <w:rFonts w:ascii="Calibri" w:hAnsi="Calibri" w:eastAsia="Calibri" w:cs="Calibri"/>
                <w:lang w:val="pt"/>
              </w:rPr>
              <w:t>Equipamento odontológico ergonômico com</w:t>
            </w:r>
            <w:r>
              <w:rPr>
                <w:rFonts w:hint="default" w:ascii="Calibri" w:hAnsi="Calibri" w:eastAsia="Calibri" w:cs="Calibri"/>
                <w:lang w:val="pt-BR"/>
              </w:rPr>
              <w:t xml:space="preserve"> </w:t>
            </w:r>
            <w:r>
              <w:rPr>
                <w:rFonts w:ascii="Calibri" w:hAnsi="Calibri" w:eastAsia="Calibri" w:cs="Calibri"/>
                <w:lang w:val="pt"/>
              </w:rPr>
              <w:t>corpo angulado e ponta com gira de 360º que permita fácil acesso a todos os dentes. Função: Ramp (intensidade progressiva). Acompanhado dos acessórios originais. Sem fio. Tipo: Fotopolimerizador, aspecto físico: de bancada; material ponteira: ponteira fibra ótica ou acrílica, material corpo: plástico; fonte: luz led; instalação: 220v ou bivolt; componentes: protetor ocular. Que atinja como potência mínima acima de 1200mw/cm² (necessária para determinados procedimentos). E que atinja como potência máxima (para outros procedimentos) aproximadamente 2500mw/cm². Com registro ANVISA.</w:t>
            </w:r>
          </w:p>
        </w:tc>
        <w:tc>
          <w:tcPr>
            <w:tcW w:w="550" w:type="pct"/>
            <w:vAlign w:val="center"/>
          </w:tcPr>
          <w:p>
            <w:pPr>
              <w:spacing w:after="0" w:line="240" w:lineRule="auto"/>
              <w:jc w:val="center"/>
              <w:rPr>
                <w:rFonts w:cstheme="minorHAnsi"/>
                <w:sz w:val="16"/>
                <w:szCs w:val="16"/>
              </w:rPr>
            </w:pPr>
          </w:p>
        </w:tc>
        <w:tc>
          <w:tcPr>
            <w:tcW w:w="390" w:type="pct"/>
            <w:vAlign w:val="center"/>
          </w:tcPr>
          <w:p>
            <w:pPr>
              <w:spacing w:after="0" w:line="240" w:lineRule="auto"/>
              <w:jc w:val="center"/>
            </w:pPr>
            <w:r>
              <w:t>UNID</w:t>
            </w:r>
          </w:p>
        </w:tc>
        <w:tc>
          <w:tcPr>
            <w:tcW w:w="494" w:type="pct"/>
            <w:vAlign w:val="center"/>
          </w:tcPr>
          <w:p>
            <w:pPr>
              <w:spacing w:after="0" w:line="240" w:lineRule="auto"/>
              <w:jc w:val="center"/>
            </w:pPr>
            <w:r>
              <w:t>28</w:t>
            </w:r>
          </w:p>
        </w:tc>
        <w:tc>
          <w:tcPr>
            <w:tcW w:w="543" w:type="pct"/>
            <w:vAlign w:val="center"/>
          </w:tcPr>
          <w:p>
            <w:pPr>
              <w:spacing w:after="0" w:line="240" w:lineRule="auto"/>
              <w:jc w:val="center"/>
              <w:rPr>
                <w:rFonts w:cstheme="minorHAnsi"/>
                <w:sz w:val="16"/>
                <w:szCs w:val="16"/>
              </w:rPr>
            </w:pPr>
          </w:p>
        </w:tc>
        <w:tc>
          <w:tcPr>
            <w:tcW w:w="480" w:type="pct"/>
            <w:vAlign w:val="center"/>
          </w:tcPr>
          <w:p>
            <w:pPr>
              <w:spacing w:after="0" w:line="240" w:lineRule="auto"/>
              <w:jc w:val="center"/>
              <w:rPr>
                <w:rFonts w:cstheme="minorHAns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69" w:type="pct"/>
            <w:vAlign w:val="center"/>
          </w:tcPr>
          <w:p>
            <w:pPr>
              <w:spacing w:after="0" w:line="240" w:lineRule="auto"/>
              <w:jc w:val="center"/>
              <w:rPr>
                <w:b/>
                <w:bCs/>
                <w:sz w:val="20"/>
                <w:szCs w:val="20"/>
              </w:rPr>
            </w:pPr>
            <w:r>
              <w:rPr>
                <w:b/>
                <w:bCs/>
                <w:sz w:val="20"/>
                <w:szCs w:val="20"/>
              </w:rPr>
              <w:t>02</w:t>
            </w:r>
          </w:p>
        </w:tc>
        <w:tc>
          <w:tcPr>
            <w:tcW w:w="2172" w:type="pct"/>
            <w:vAlign w:val="center"/>
          </w:tcPr>
          <w:p>
            <w:pPr>
              <w:spacing w:after="0" w:line="252" w:lineRule="auto"/>
              <w:ind w:left="108" w:leftChars="0" w:hanging="108" w:firstLineChars="0"/>
              <w:jc w:val="both"/>
              <w:rPr>
                <w:rFonts w:ascii="Calibri" w:hAnsi="Calibri" w:eastAsia="Calibri" w:cs="Calibri"/>
                <w:sz w:val="16"/>
                <w:szCs w:val="16"/>
              </w:rPr>
            </w:pPr>
            <w:r>
              <w:rPr>
                <w:rFonts w:ascii="Calibri" w:hAnsi="Calibri" w:eastAsia="Calibri" w:cs="Calibri"/>
                <w:b/>
                <w:bCs/>
                <w:lang w:val="pt"/>
              </w:rPr>
              <w:t xml:space="preserve">SELADORA PARA PAPEL GRAU CIRÚRGICO - </w:t>
            </w:r>
            <w:r>
              <w:rPr>
                <w:rFonts w:ascii="Calibri" w:hAnsi="Calibri" w:eastAsia="Calibri" w:cs="Calibri"/>
                <w:lang w:val="pt"/>
              </w:rPr>
              <w:t xml:space="preserve">Material: </w:t>
            </w:r>
            <w:r>
              <w:rPr>
                <w:rFonts w:ascii="Calibri" w:hAnsi="Calibri" w:eastAsia="Calibri" w:cs="Calibri"/>
                <w:sz w:val="21"/>
                <w:szCs w:val="21"/>
                <w:lang w:val="pt"/>
              </w:rPr>
              <w:t>Aço Inoxidável</w:t>
            </w:r>
            <w:r>
              <w:rPr>
                <w:rFonts w:ascii="Calibri" w:hAnsi="Calibri" w:eastAsia="Calibri" w:cs="Calibri"/>
                <w:lang w:val="pt"/>
              </w:rPr>
              <w:t>, voltagem: 220 v ou bivolt; Com guilhotina e suporte; funcionamento: pedal; aplicação: vedação envelope/papel grau cirúrgico para esterilização em autoclave. Características Adicionais: C/ Controle De Temperatura e Suporte P/ Bobina. Com registro ANVISA.</w:t>
            </w:r>
          </w:p>
        </w:tc>
        <w:tc>
          <w:tcPr>
            <w:tcW w:w="550" w:type="pct"/>
            <w:vAlign w:val="center"/>
          </w:tcPr>
          <w:p>
            <w:pPr>
              <w:spacing w:after="0" w:line="240" w:lineRule="auto"/>
              <w:jc w:val="center"/>
              <w:rPr>
                <w:rFonts w:cstheme="minorHAnsi"/>
                <w:sz w:val="16"/>
                <w:szCs w:val="16"/>
              </w:rPr>
            </w:pPr>
          </w:p>
        </w:tc>
        <w:tc>
          <w:tcPr>
            <w:tcW w:w="390" w:type="pct"/>
            <w:vAlign w:val="center"/>
          </w:tcPr>
          <w:p>
            <w:pPr>
              <w:spacing w:after="0" w:line="240" w:lineRule="auto"/>
              <w:jc w:val="center"/>
              <w:rPr>
                <w:rFonts w:cstheme="minorHAnsi"/>
              </w:rPr>
            </w:pPr>
            <w:r>
              <w:rPr>
                <w:rFonts w:cstheme="minorHAnsi"/>
              </w:rPr>
              <w:t>UNID</w:t>
            </w:r>
          </w:p>
        </w:tc>
        <w:tc>
          <w:tcPr>
            <w:tcW w:w="494" w:type="pct"/>
            <w:vAlign w:val="center"/>
          </w:tcPr>
          <w:p>
            <w:pPr>
              <w:spacing w:after="0" w:line="240" w:lineRule="auto"/>
              <w:jc w:val="center"/>
              <w:rPr>
                <w:rFonts w:cstheme="minorHAnsi"/>
              </w:rPr>
            </w:pPr>
            <w:r>
              <w:rPr>
                <w:rFonts w:cstheme="minorHAnsi"/>
              </w:rPr>
              <w:t>23</w:t>
            </w:r>
          </w:p>
        </w:tc>
        <w:tc>
          <w:tcPr>
            <w:tcW w:w="543" w:type="pct"/>
            <w:vAlign w:val="center"/>
          </w:tcPr>
          <w:p>
            <w:pPr>
              <w:spacing w:after="0" w:line="240" w:lineRule="auto"/>
              <w:jc w:val="center"/>
              <w:rPr>
                <w:rFonts w:cstheme="minorHAnsi"/>
                <w:sz w:val="16"/>
                <w:szCs w:val="16"/>
              </w:rPr>
            </w:pPr>
          </w:p>
        </w:tc>
        <w:tc>
          <w:tcPr>
            <w:tcW w:w="480" w:type="pct"/>
            <w:vAlign w:val="center"/>
          </w:tcPr>
          <w:p>
            <w:pPr>
              <w:spacing w:after="0" w:line="240" w:lineRule="auto"/>
              <w:jc w:val="center"/>
              <w:rPr>
                <w:rFonts w:cstheme="minorHAns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69" w:type="pct"/>
            <w:vAlign w:val="center"/>
          </w:tcPr>
          <w:p>
            <w:pPr>
              <w:spacing w:after="0" w:line="240" w:lineRule="auto"/>
              <w:jc w:val="center"/>
              <w:rPr>
                <w:b/>
                <w:bCs/>
                <w:sz w:val="20"/>
                <w:szCs w:val="20"/>
              </w:rPr>
            </w:pPr>
            <w:r>
              <w:rPr>
                <w:b/>
                <w:bCs/>
                <w:sz w:val="20"/>
                <w:szCs w:val="20"/>
              </w:rPr>
              <w:t>03</w:t>
            </w:r>
          </w:p>
        </w:tc>
        <w:tc>
          <w:tcPr>
            <w:tcW w:w="2172" w:type="pct"/>
            <w:vAlign w:val="center"/>
          </w:tcPr>
          <w:p>
            <w:pPr>
              <w:pStyle w:val="39"/>
              <w:spacing w:before="2" w:line="252" w:lineRule="auto"/>
              <w:ind w:left="108" w:right="111"/>
              <w:jc w:val="both"/>
            </w:pPr>
            <w:r>
              <w:rPr>
                <w:b/>
              </w:rPr>
              <w:t xml:space="preserve">KIT ACADÊMICO com encaixe borden – </w:t>
            </w:r>
            <w:r>
              <w:t>Com caneta de alta rotação, micromotor e contra-ângulo</w:t>
            </w:r>
            <w:r>
              <w:rPr>
                <w:spacing w:val="-6"/>
              </w:rPr>
              <w:t xml:space="preserve"> </w:t>
            </w:r>
            <w:r>
              <w:t>e</w:t>
            </w:r>
            <w:r>
              <w:rPr>
                <w:spacing w:val="-6"/>
              </w:rPr>
              <w:t xml:space="preserve"> </w:t>
            </w:r>
            <w:r>
              <w:t>peça</w:t>
            </w:r>
            <w:r>
              <w:rPr>
                <w:spacing w:val="-6"/>
              </w:rPr>
              <w:t xml:space="preserve"> </w:t>
            </w:r>
            <w:r>
              <w:t>reta.</w:t>
            </w:r>
            <w:r>
              <w:rPr>
                <w:spacing w:val="-8"/>
              </w:rPr>
              <w:t xml:space="preserve"> </w:t>
            </w:r>
            <w:r>
              <w:t>Micro-motor:</w:t>
            </w:r>
            <w:r>
              <w:rPr>
                <w:spacing w:val="-6"/>
              </w:rPr>
              <w:t xml:space="preserve"> </w:t>
            </w:r>
            <w:r>
              <w:t>com</w:t>
            </w:r>
            <w:r>
              <w:rPr>
                <w:spacing w:val="-7"/>
              </w:rPr>
              <w:t xml:space="preserve"> </w:t>
            </w:r>
            <w:r>
              <w:t>velocidade máxima que atinja entre 20.000 a 25.000 RPM; conexão universal tipo borden e sistema INTRA. Contra-ângulo: rotação máxima que atinja</w:t>
            </w:r>
          </w:p>
          <w:p>
            <w:pPr>
              <w:pStyle w:val="39"/>
              <w:spacing w:before="5" w:line="252" w:lineRule="auto"/>
              <w:ind w:left="108" w:right="111"/>
              <w:jc w:val="both"/>
              <w:rPr>
                <w:rFonts w:cstheme="minorHAnsi"/>
                <w:sz w:val="16"/>
                <w:szCs w:val="16"/>
              </w:rPr>
            </w:pPr>
            <w:r>
              <w:t>40.000</w:t>
            </w:r>
            <w:r>
              <w:rPr>
                <w:spacing w:val="-4"/>
              </w:rPr>
              <w:t xml:space="preserve"> </w:t>
            </w:r>
            <w:r>
              <w:t>RPM</w:t>
            </w:r>
            <w:r>
              <w:rPr>
                <w:spacing w:val="-6"/>
              </w:rPr>
              <w:t xml:space="preserve"> </w:t>
            </w:r>
            <w:r>
              <w:t>com</w:t>
            </w:r>
            <w:r>
              <w:rPr>
                <w:spacing w:val="-6"/>
              </w:rPr>
              <w:t xml:space="preserve"> </w:t>
            </w:r>
            <w:r>
              <w:t>redução</w:t>
            </w:r>
            <w:r>
              <w:rPr>
                <w:spacing w:val="-5"/>
              </w:rPr>
              <w:t xml:space="preserve"> </w:t>
            </w:r>
            <w:r>
              <w:t>de</w:t>
            </w:r>
            <w:r>
              <w:rPr>
                <w:spacing w:val="-4"/>
              </w:rPr>
              <w:t xml:space="preserve"> </w:t>
            </w:r>
            <w:r>
              <w:t>1:1.</w:t>
            </w:r>
            <w:r>
              <w:rPr>
                <w:spacing w:val="-4"/>
              </w:rPr>
              <w:t xml:space="preserve"> </w:t>
            </w:r>
            <w:r>
              <w:t>INTRA.</w:t>
            </w:r>
            <w:r>
              <w:rPr>
                <w:spacing w:val="-7"/>
              </w:rPr>
              <w:t xml:space="preserve"> </w:t>
            </w:r>
            <w:r>
              <w:t>Peça reta: velocidade que atinja até 20.000 RPM (INTRA). Caneta de alta rotação: rotação</w:t>
            </w:r>
            <w:r>
              <w:rPr>
                <w:spacing w:val="-5"/>
              </w:rPr>
              <w:t xml:space="preserve"> </w:t>
            </w:r>
            <w:r>
              <w:t>que</w:t>
            </w:r>
            <w:r>
              <w:rPr>
                <w:spacing w:val="-8"/>
              </w:rPr>
              <w:t xml:space="preserve"> </w:t>
            </w:r>
            <w:r>
              <w:t>atinja</w:t>
            </w:r>
            <w:r>
              <w:rPr>
                <w:spacing w:val="-6"/>
              </w:rPr>
              <w:t xml:space="preserve"> </w:t>
            </w:r>
            <w:r>
              <w:t>até</w:t>
            </w:r>
            <w:r>
              <w:rPr>
                <w:spacing w:val="-8"/>
              </w:rPr>
              <w:t xml:space="preserve"> </w:t>
            </w:r>
            <w:r>
              <w:t>450.000</w:t>
            </w:r>
            <w:r>
              <w:rPr>
                <w:spacing w:val="-6"/>
              </w:rPr>
              <w:t xml:space="preserve"> </w:t>
            </w:r>
            <w:r>
              <w:t>RPM,</w:t>
            </w:r>
            <w:r>
              <w:rPr>
                <w:spacing w:val="-9"/>
              </w:rPr>
              <w:t xml:space="preserve"> </w:t>
            </w:r>
            <w:r>
              <w:t xml:space="preserve">rolamentos, refrigeração, spray triplo ou mais. Autoclaváveis. Com registro ANVISA. </w:t>
            </w:r>
          </w:p>
          <w:p>
            <w:pPr>
              <w:spacing w:after="0" w:line="240" w:lineRule="auto"/>
              <w:jc w:val="both"/>
              <w:rPr>
                <w:rFonts w:cstheme="minorHAnsi"/>
                <w:sz w:val="16"/>
                <w:szCs w:val="16"/>
              </w:rPr>
            </w:pPr>
          </w:p>
        </w:tc>
        <w:tc>
          <w:tcPr>
            <w:tcW w:w="550" w:type="pct"/>
            <w:vAlign w:val="center"/>
          </w:tcPr>
          <w:p>
            <w:pPr>
              <w:spacing w:after="0" w:line="240" w:lineRule="auto"/>
              <w:jc w:val="center"/>
              <w:rPr>
                <w:rFonts w:cstheme="minorHAnsi"/>
                <w:sz w:val="16"/>
                <w:szCs w:val="16"/>
              </w:rPr>
            </w:pPr>
          </w:p>
        </w:tc>
        <w:tc>
          <w:tcPr>
            <w:tcW w:w="390" w:type="pct"/>
            <w:vAlign w:val="center"/>
          </w:tcPr>
          <w:p>
            <w:pPr>
              <w:spacing w:after="0" w:line="240" w:lineRule="auto"/>
              <w:jc w:val="center"/>
              <w:rPr>
                <w:rFonts w:cstheme="minorHAnsi"/>
              </w:rPr>
            </w:pPr>
            <w:r>
              <w:rPr>
                <w:rFonts w:cstheme="minorHAnsi"/>
              </w:rPr>
              <w:t>UNID</w:t>
            </w:r>
          </w:p>
        </w:tc>
        <w:tc>
          <w:tcPr>
            <w:tcW w:w="494" w:type="pct"/>
            <w:vAlign w:val="center"/>
          </w:tcPr>
          <w:p>
            <w:pPr>
              <w:spacing w:after="0" w:line="240" w:lineRule="auto"/>
              <w:jc w:val="center"/>
              <w:rPr>
                <w:rFonts w:cstheme="minorHAnsi"/>
              </w:rPr>
            </w:pPr>
            <w:r>
              <w:rPr>
                <w:rFonts w:cstheme="minorHAnsi"/>
              </w:rPr>
              <w:t>28</w:t>
            </w:r>
          </w:p>
        </w:tc>
        <w:tc>
          <w:tcPr>
            <w:tcW w:w="543" w:type="pct"/>
            <w:vAlign w:val="center"/>
          </w:tcPr>
          <w:p>
            <w:pPr>
              <w:spacing w:after="0" w:line="240" w:lineRule="auto"/>
              <w:jc w:val="center"/>
              <w:rPr>
                <w:rFonts w:cstheme="minorHAnsi"/>
                <w:sz w:val="16"/>
                <w:szCs w:val="16"/>
              </w:rPr>
            </w:pPr>
          </w:p>
        </w:tc>
        <w:tc>
          <w:tcPr>
            <w:tcW w:w="480" w:type="pct"/>
            <w:vAlign w:val="center"/>
          </w:tcPr>
          <w:p>
            <w:pPr>
              <w:spacing w:after="0" w:line="240" w:lineRule="auto"/>
              <w:jc w:val="center"/>
              <w:rPr>
                <w:rFonts w:cstheme="minorHAns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69" w:type="pct"/>
            <w:vAlign w:val="center"/>
          </w:tcPr>
          <w:p>
            <w:pPr>
              <w:spacing w:after="0" w:line="240" w:lineRule="auto"/>
              <w:jc w:val="center"/>
              <w:rPr>
                <w:b/>
                <w:bCs/>
                <w:sz w:val="20"/>
                <w:szCs w:val="20"/>
              </w:rPr>
            </w:pPr>
            <w:r>
              <w:rPr>
                <w:b/>
                <w:bCs/>
                <w:sz w:val="20"/>
                <w:szCs w:val="20"/>
              </w:rPr>
              <w:t>04</w:t>
            </w:r>
          </w:p>
        </w:tc>
        <w:tc>
          <w:tcPr>
            <w:tcW w:w="2172" w:type="pct"/>
            <w:vAlign w:val="center"/>
          </w:tcPr>
          <w:p>
            <w:pPr>
              <w:pStyle w:val="39"/>
              <w:ind w:right="162"/>
              <w:jc w:val="both"/>
            </w:pPr>
            <w:r>
              <w:rPr>
                <w:b/>
              </w:rPr>
              <w:t xml:space="preserve">AUTOCLAVE – </w:t>
            </w:r>
            <w:r>
              <w:t>aproximadamente 25 litros c/ cuba</w:t>
            </w:r>
            <w:r>
              <w:rPr>
                <w:spacing w:val="-1"/>
              </w:rPr>
              <w:t xml:space="preserve"> </w:t>
            </w:r>
            <w:r>
              <w:t>inox,</w:t>
            </w:r>
            <w:r>
              <w:rPr>
                <w:spacing w:val="-3"/>
              </w:rPr>
              <w:t xml:space="preserve"> </w:t>
            </w:r>
            <w:r>
              <w:t>vapor</w:t>
            </w:r>
            <w:r>
              <w:rPr>
                <w:spacing w:val="-1"/>
              </w:rPr>
              <w:t xml:space="preserve"> </w:t>
            </w:r>
            <w:r>
              <w:t>saturado sob</w:t>
            </w:r>
            <w:r>
              <w:rPr>
                <w:spacing w:val="-2"/>
              </w:rPr>
              <w:t xml:space="preserve"> </w:t>
            </w:r>
            <w:r>
              <w:t>pressão,</w:t>
            </w:r>
            <w:r>
              <w:rPr>
                <w:spacing w:val="-1"/>
              </w:rPr>
              <w:t xml:space="preserve"> </w:t>
            </w:r>
            <w:r>
              <w:t>digital. Com programas de ciclos pré-definidos. Com</w:t>
            </w:r>
          </w:p>
          <w:p>
            <w:pPr>
              <w:spacing w:after="0" w:line="240" w:lineRule="auto"/>
              <w:jc w:val="both"/>
              <w:rPr>
                <w:rFonts w:cstheme="minorHAnsi"/>
                <w:sz w:val="16"/>
                <w:szCs w:val="16"/>
              </w:rPr>
            </w:pPr>
            <w:r>
              <w:t>ciclos</w:t>
            </w:r>
            <w:r>
              <w:rPr>
                <w:spacing w:val="-7"/>
              </w:rPr>
              <w:t xml:space="preserve"> </w:t>
            </w:r>
            <w:r>
              <w:t>de</w:t>
            </w:r>
            <w:r>
              <w:rPr>
                <w:spacing w:val="-7"/>
              </w:rPr>
              <w:t xml:space="preserve"> </w:t>
            </w:r>
            <w:r>
              <w:t>esterilização</w:t>
            </w:r>
            <w:r>
              <w:rPr>
                <w:spacing w:val="-8"/>
              </w:rPr>
              <w:t xml:space="preserve"> </w:t>
            </w:r>
            <w:r>
              <w:t>e</w:t>
            </w:r>
            <w:r>
              <w:rPr>
                <w:spacing w:val="-7"/>
              </w:rPr>
              <w:t xml:space="preserve"> </w:t>
            </w:r>
            <w:r>
              <w:t>secagem.</w:t>
            </w:r>
            <w:r>
              <w:rPr>
                <w:spacing w:val="-7"/>
              </w:rPr>
              <w:t xml:space="preserve"> </w:t>
            </w:r>
            <w:r>
              <w:t>Com</w:t>
            </w:r>
            <w:r>
              <w:rPr>
                <w:spacing w:val="-6"/>
              </w:rPr>
              <w:t xml:space="preserve"> </w:t>
            </w:r>
            <w:r>
              <w:t>registro ANVISA. 220 V ou Bivolt.</w:t>
            </w:r>
          </w:p>
        </w:tc>
        <w:tc>
          <w:tcPr>
            <w:tcW w:w="550" w:type="pct"/>
            <w:vAlign w:val="center"/>
          </w:tcPr>
          <w:p>
            <w:pPr>
              <w:spacing w:after="0" w:line="240" w:lineRule="auto"/>
              <w:jc w:val="center"/>
              <w:rPr>
                <w:rFonts w:cstheme="minorHAnsi"/>
                <w:sz w:val="16"/>
                <w:szCs w:val="16"/>
              </w:rPr>
            </w:pPr>
          </w:p>
        </w:tc>
        <w:tc>
          <w:tcPr>
            <w:tcW w:w="390" w:type="pct"/>
            <w:vAlign w:val="center"/>
          </w:tcPr>
          <w:p>
            <w:pPr>
              <w:spacing w:after="0" w:line="240" w:lineRule="auto"/>
              <w:jc w:val="center"/>
              <w:rPr>
                <w:rFonts w:cstheme="minorHAnsi"/>
              </w:rPr>
            </w:pPr>
            <w:r>
              <w:rPr>
                <w:rFonts w:cstheme="minorHAnsi"/>
              </w:rPr>
              <w:t>UNID</w:t>
            </w:r>
          </w:p>
        </w:tc>
        <w:tc>
          <w:tcPr>
            <w:tcW w:w="494" w:type="pct"/>
            <w:vAlign w:val="center"/>
          </w:tcPr>
          <w:p>
            <w:pPr>
              <w:spacing w:after="0" w:line="240" w:lineRule="auto"/>
              <w:jc w:val="center"/>
              <w:rPr>
                <w:rFonts w:cstheme="minorHAnsi"/>
              </w:rPr>
            </w:pPr>
            <w:r>
              <w:rPr>
                <w:rFonts w:cstheme="minorHAnsi"/>
              </w:rPr>
              <w:t>13</w:t>
            </w:r>
          </w:p>
        </w:tc>
        <w:tc>
          <w:tcPr>
            <w:tcW w:w="543" w:type="pct"/>
            <w:vAlign w:val="center"/>
          </w:tcPr>
          <w:p>
            <w:pPr>
              <w:spacing w:after="0" w:line="240" w:lineRule="auto"/>
              <w:jc w:val="center"/>
              <w:rPr>
                <w:rFonts w:cstheme="minorHAnsi"/>
                <w:sz w:val="16"/>
                <w:szCs w:val="16"/>
              </w:rPr>
            </w:pPr>
          </w:p>
        </w:tc>
        <w:tc>
          <w:tcPr>
            <w:tcW w:w="480" w:type="pct"/>
            <w:vAlign w:val="center"/>
          </w:tcPr>
          <w:p>
            <w:pPr>
              <w:spacing w:after="0" w:line="240" w:lineRule="auto"/>
              <w:jc w:val="center"/>
              <w:rPr>
                <w:rFonts w:cstheme="minorHAns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69" w:type="pct"/>
            <w:vAlign w:val="center"/>
          </w:tcPr>
          <w:p>
            <w:pPr>
              <w:spacing w:after="0" w:line="240" w:lineRule="auto"/>
              <w:jc w:val="center"/>
              <w:rPr>
                <w:b/>
                <w:bCs/>
                <w:sz w:val="20"/>
                <w:szCs w:val="20"/>
              </w:rPr>
            </w:pPr>
            <w:r>
              <w:rPr>
                <w:b/>
                <w:bCs/>
                <w:sz w:val="20"/>
                <w:szCs w:val="20"/>
              </w:rPr>
              <w:t>05</w:t>
            </w:r>
          </w:p>
        </w:tc>
        <w:tc>
          <w:tcPr>
            <w:tcW w:w="2172" w:type="pct"/>
            <w:vAlign w:val="center"/>
          </w:tcPr>
          <w:p>
            <w:pPr>
              <w:pStyle w:val="39"/>
              <w:spacing w:line="266" w:lineRule="exact"/>
              <w:jc w:val="both"/>
              <w:rPr>
                <w:spacing w:val="-4"/>
              </w:rPr>
            </w:pPr>
            <w:r>
              <w:rPr>
                <w:b/>
              </w:rPr>
              <w:t>CANETA</w:t>
            </w:r>
            <w:r>
              <w:rPr>
                <w:b/>
                <w:spacing w:val="-4"/>
              </w:rPr>
              <w:t xml:space="preserve"> </w:t>
            </w:r>
            <w:r>
              <w:rPr>
                <w:b/>
              </w:rPr>
              <w:t>DE</w:t>
            </w:r>
            <w:r>
              <w:rPr>
                <w:b/>
                <w:spacing w:val="-4"/>
              </w:rPr>
              <w:t xml:space="preserve"> </w:t>
            </w:r>
            <w:r>
              <w:rPr>
                <w:b/>
              </w:rPr>
              <w:t>ALTA</w:t>
            </w:r>
            <w:r>
              <w:rPr>
                <w:b/>
                <w:spacing w:val="-3"/>
              </w:rPr>
              <w:t xml:space="preserve"> </w:t>
            </w:r>
            <w:r>
              <w:rPr>
                <w:b/>
              </w:rPr>
              <w:t>ROTAÇÃO</w:t>
            </w:r>
            <w:r>
              <w:rPr>
                <w:b/>
                <w:spacing w:val="-2"/>
              </w:rPr>
              <w:t xml:space="preserve"> </w:t>
            </w:r>
            <w:r>
              <w:rPr>
                <w:b/>
              </w:rPr>
              <w:t>–</w:t>
            </w:r>
            <w:r>
              <w:rPr>
                <w:b/>
                <w:spacing w:val="-3"/>
              </w:rPr>
              <w:t xml:space="preserve"> </w:t>
            </w:r>
            <w:r>
              <w:rPr>
                <w:spacing w:val="-2"/>
              </w:rPr>
              <w:t xml:space="preserve">Rolamentos, </w:t>
            </w:r>
            <w:r>
              <w:t>velocidade</w:t>
            </w:r>
            <w:r>
              <w:rPr>
                <w:spacing w:val="-7"/>
              </w:rPr>
              <w:t xml:space="preserve"> </w:t>
            </w:r>
            <w:r>
              <w:t>máxima</w:t>
            </w:r>
            <w:r>
              <w:rPr>
                <w:spacing w:val="-5"/>
              </w:rPr>
              <w:t xml:space="preserve"> </w:t>
            </w:r>
            <w:r>
              <w:t>que</w:t>
            </w:r>
            <w:r>
              <w:rPr>
                <w:spacing w:val="-5"/>
              </w:rPr>
              <w:t xml:space="preserve"> </w:t>
            </w:r>
            <w:r>
              <w:t>atinja</w:t>
            </w:r>
            <w:r>
              <w:rPr>
                <w:spacing w:val="-4"/>
              </w:rPr>
              <w:t xml:space="preserve"> </w:t>
            </w:r>
            <w:r>
              <w:rPr>
                <w:spacing w:val="-2"/>
              </w:rPr>
              <w:t xml:space="preserve">aproximadamente </w:t>
            </w:r>
            <w:r>
              <w:t>450.000</w:t>
            </w:r>
            <w:r>
              <w:rPr>
                <w:spacing w:val="-5"/>
              </w:rPr>
              <w:t xml:space="preserve"> </w:t>
            </w:r>
            <w:r>
              <w:t>RPM,</w:t>
            </w:r>
            <w:r>
              <w:rPr>
                <w:spacing w:val="-3"/>
              </w:rPr>
              <w:t xml:space="preserve"> </w:t>
            </w:r>
            <w:r>
              <w:t>refrigeração:</w:t>
            </w:r>
            <w:r>
              <w:rPr>
                <w:spacing w:val="-5"/>
              </w:rPr>
              <w:t xml:space="preserve"> </w:t>
            </w:r>
            <w:r>
              <w:t>três</w:t>
            </w:r>
            <w:r>
              <w:rPr>
                <w:spacing w:val="-5"/>
              </w:rPr>
              <w:t xml:space="preserve"> </w:t>
            </w:r>
            <w:r>
              <w:t>(3)</w:t>
            </w:r>
            <w:r>
              <w:rPr>
                <w:spacing w:val="-6"/>
              </w:rPr>
              <w:t xml:space="preserve"> </w:t>
            </w:r>
            <w:r>
              <w:t>ou</w:t>
            </w:r>
            <w:r>
              <w:rPr>
                <w:spacing w:val="-5"/>
              </w:rPr>
              <w:t xml:space="preserve"> </w:t>
            </w:r>
            <w:r>
              <w:rPr>
                <w:spacing w:val="-4"/>
              </w:rPr>
              <w:t>mais furos, sistema de troca de brocas: saca broca, tipo conexão: conexão dois (2) furos, encaixe Borden, tipo cabeça: cabeça padrão. Com registro ANVISA.</w:t>
            </w:r>
          </w:p>
        </w:tc>
        <w:tc>
          <w:tcPr>
            <w:tcW w:w="550" w:type="pct"/>
            <w:vAlign w:val="center"/>
          </w:tcPr>
          <w:p>
            <w:pPr>
              <w:spacing w:after="0" w:line="240" w:lineRule="auto"/>
              <w:jc w:val="center"/>
              <w:rPr>
                <w:rFonts w:cstheme="minorHAnsi"/>
                <w:sz w:val="16"/>
                <w:szCs w:val="16"/>
              </w:rPr>
            </w:pPr>
          </w:p>
        </w:tc>
        <w:tc>
          <w:tcPr>
            <w:tcW w:w="390" w:type="pct"/>
            <w:vAlign w:val="center"/>
          </w:tcPr>
          <w:p>
            <w:pPr>
              <w:spacing w:after="0" w:line="240" w:lineRule="auto"/>
              <w:jc w:val="center"/>
              <w:rPr>
                <w:rFonts w:cstheme="minorHAnsi"/>
              </w:rPr>
            </w:pPr>
            <w:r>
              <w:rPr>
                <w:rFonts w:cstheme="minorHAnsi"/>
              </w:rPr>
              <w:t>UNID</w:t>
            </w:r>
          </w:p>
        </w:tc>
        <w:tc>
          <w:tcPr>
            <w:tcW w:w="494" w:type="pct"/>
            <w:vAlign w:val="center"/>
          </w:tcPr>
          <w:p>
            <w:pPr>
              <w:spacing w:after="0" w:line="240" w:lineRule="auto"/>
              <w:jc w:val="center"/>
              <w:rPr>
                <w:rFonts w:cstheme="minorHAnsi"/>
              </w:rPr>
            </w:pPr>
            <w:r>
              <w:rPr>
                <w:rFonts w:cstheme="minorHAnsi"/>
              </w:rPr>
              <w:t>112</w:t>
            </w:r>
          </w:p>
        </w:tc>
        <w:tc>
          <w:tcPr>
            <w:tcW w:w="543" w:type="pct"/>
            <w:vAlign w:val="center"/>
          </w:tcPr>
          <w:p>
            <w:pPr>
              <w:spacing w:after="0" w:line="240" w:lineRule="auto"/>
              <w:jc w:val="center"/>
              <w:rPr>
                <w:rFonts w:cstheme="minorHAnsi"/>
                <w:sz w:val="16"/>
                <w:szCs w:val="16"/>
              </w:rPr>
            </w:pPr>
          </w:p>
        </w:tc>
        <w:tc>
          <w:tcPr>
            <w:tcW w:w="480" w:type="pct"/>
            <w:vAlign w:val="center"/>
          </w:tcPr>
          <w:p>
            <w:pPr>
              <w:spacing w:after="0" w:line="240" w:lineRule="auto"/>
              <w:jc w:val="center"/>
              <w:rPr>
                <w:rFonts w:cstheme="minorHAns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69" w:type="pct"/>
            <w:vAlign w:val="center"/>
          </w:tcPr>
          <w:p>
            <w:pPr>
              <w:spacing w:after="0" w:line="240" w:lineRule="auto"/>
              <w:jc w:val="center"/>
              <w:rPr>
                <w:b/>
                <w:bCs/>
                <w:sz w:val="20"/>
                <w:szCs w:val="20"/>
              </w:rPr>
            </w:pPr>
            <w:r>
              <w:rPr>
                <w:b/>
                <w:bCs/>
                <w:sz w:val="20"/>
                <w:szCs w:val="20"/>
              </w:rPr>
              <w:t>06</w:t>
            </w:r>
          </w:p>
        </w:tc>
        <w:tc>
          <w:tcPr>
            <w:tcW w:w="2172" w:type="pct"/>
            <w:vAlign w:val="center"/>
          </w:tcPr>
          <w:p>
            <w:pPr>
              <w:pStyle w:val="39"/>
              <w:spacing w:line="252" w:lineRule="auto"/>
              <w:jc w:val="both"/>
            </w:pPr>
            <w:r>
              <w:rPr>
                <w:b/>
              </w:rPr>
              <w:t>COMPRESSOR</w:t>
            </w:r>
            <w:r>
              <w:rPr>
                <w:b/>
                <w:spacing w:val="-7"/>
              </w:rPr>
              <w:t xml:space="preserve"> </w:t>
            </w:r>
            <w:r>
              <w:rPr>
                <w:b/>
              </w:rPr>
              <w:t>ODONTOLÓGICO</w:t>
            </w:r>
            <w:r>
              <w:rPr>
                <w:b/>
                <w:spacing w:val="-6"/>
              </w:rPr>
              <w:t xml:space="preserve"> </w:t>
            </w:r>
            <w:r>
              <w:rPr>
                <w:b/>
              </w:rPr>
              <w:t>–</w:t>
            </w:r>
            <w:r>
              <w:rPr>
                <w:b/>
                <w:spacing w:val="-9"/>
              </w:rPr>
              <w:t xml:space="preserve"> </w:t>
            </w:r>
            <w:r>
              <w:t>Isento</w:t>
            </w:r>
            <w:r>
              <w:rPr>
                <w:spacing w:val="-6"/>
              </w:rPr>
              <w:t xml:space="preserve"> </w:t>
            </w:r>
            <w:r>
              <w:t>de</w:t>
            </w:r>
            <w:r>
              <w:rPr>
                <w:spacing w:val="-9"/>
              </w:rPr>
              <w:t xml:space="preserve"> </w:t>
            </w:r>
            <w:r>
              <w:t>óleo, baixo nível de ruído, acima</w:t>
            </w:r>
            <w:r>
              <w:rPr>
                <w:spacing w:val="-1"/>
              </w:rPr>
              <w:t xml:space="preserve"> </w:t>
            </w:r>
            <w:r>
              <w:t>de 60 litros, acima de 120 libras. Com registro ANVISA. 220 V. ou</w:t>
            </w:r>
          </w:p>
          <w:p>
            <w:pPr>
              <w:spacing w:after="0" w:line="240" w:lineRule="auto"/>
              <w:jc w:val="both"/>
              <w:rPr>
                <w:rFonts w:cstheme="minorHAnsi"/>
                <w:sz w:val="16"/>
                <w:szCs w:val="16"/>
              </w:rPr>
            </w:pPr>
            <w:r>
              <w:rPr>
                <w:spacing w:val="-2"/>
              </w:rPr>
              <w:t>Bivolt.</w:t>
            </w:r>
          </w:p>
        </w:tc>
        <w:tc>
          <w:tcPr>
            <w:tcW w:w="550" w:type="pct"/>
            <w:vAlign w:val="center"/>
          </w:tcPr>
          <w:p>
            <w:pPr>
              <w:spacing w:after="0" w:line="240" w:lineRule="auto"/>
              <w:jc w:val="center"/>
              <w:rPr>
                <w:rFonts w:cstheme="minorHAnsi"/>
                <w:sz w:val="16"/>
                <w:szCs w:val="16"/>
              </w:rPr>
            </w:pPr>
          </w:p>
        </w:tc>
        <w:tc>
          <w:tcPr>
            <w:tcW w:w="390" w:type="pct"/>
            <w:vAlign w:val="center"/>
          </w:tcPr>
          <w:p>
            <w:pPr>
              <w:spacing w:after="0" w:line="240" w:lineRule="auto"/>
              <w:jc w:val="center"/>
              <w:rPr>
                <w:rFonts w:cstheme="minorHAnsi"/>
              </w:rPr>
            </w:pPr>
            <w:r>
              <w:rPr>
                <w:rFonts w:cstheme="minorHAnsi"/>
              </w:rPr>
              <w:t>UNID</w:t>
            </w:r>
          </w:p>
        </w:tc>
        <w:tc>
          <w:tcPr>
            <w:tcW w:w="494" w:type="pct"/>
            <w:vAlign w:val="center"/>
          </w:tcPr>
          <w:p>
            <w:pPr>
              <w:spacing w:after="0" w:line="240" w:lineRule="auto"/>
              <w:jc w:val="center"/>
              <w:rPr>
                <w:rFonts w:cstheme="minorHAnsi"/>
              </w:rPr>
            </w:pPr>
            <w:r>
              <w:rPr>
                <w:rFonts w:cstheme="minorHAnsi"/>
              </w:rPr>
              <w:t>15</w:t>
            </w:r>
          </w:p>
        </w:tc>
        <w:tc>
          <w:tcPr>
            <w:tcW w:w="543" w:type="pct"/>
            <w:vAlign w:val="center"/>
          </w:tcPr>
          <w:p>
            <w:pPr>
              <w:spacing w:after="0" w:line="240" w:lineRule="auto"/>
              <w:jc w:val="center"/>
              <w:rPr>
                <w:rFonts w:cstheme="minorHAnsi"/>
                <w:sz w:val="16"/>
                <w:szCs w:val="16"/>
              </w:rPr>
            </w:pPr>
          </w:p>
        </w:tc>
        <w:tc>
          <w:tcPr>
            <w:tcW w:w="480" w:type="pct"/>
            <w:vAlign w:val="center"/>
          </w:tcPr>
          <w:p>
            <w:pPr>
              <w:spacing w:after="0" w:line="240" w:lineRule="auto"/>
              <w:jc w:val="center"/>
              <w:rPr>
                <w:rFonts w:cstheme="minorHAns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69" w:type="pct"/>
            <w:vAlign w:val="center"/>
          </w:tcPr>
          <w:p>
            <w:pPr>
              <w:spacing w:after="0" w:line="240" w:lineRule="auto"/>
              <w:jc w:val="center"/>
              <w:rPr>
                <w:b/>
                <w:bCs/>
                <w:sz w:val="20"/>
                <w:szCs w:val="20"/>
              </w:rPr>
            </w:pPr>
            <w:r>
              <w:rPr>
                <w:b/>
                <w:bCs/>
                <w:sz w:val="20"/>
                <w:szCs w:val="20"/>
              </w:rPr>
              <w:t>07</w:t>
            </w:r>
          </w:p>
        </w:tc>
        <w:tc>
          <w:tcPr>
            <w:tcW w:w="2172" w:type="pct"/>
            <w:vAlign w:val="center"/>
          </w:tcPr>
          <w:p>
            <w:pPr>
              <w:pStyle w:val="39"/>
              <w:spacing w:line="268" w:lineRule="exact"/>
              <w:jc w:val="both"/>
              <w:rPr>
                <w:b/>
              </w:rPr>
            </w:pPr>
            <w:r>
              <w:rPr>
                <w:b/>
              </w:rPr>
              <w:t>APARELHO</w:t>
            </w:r>
            <w:r>
              <w:rPr>
                <w:b/>
                <w:spacing w:val="-8"/>
              </w:rPr>
              <w:t xml:space="preserve"> </w:t>
            </w:r>
            <w:r>
              <w:rPr>
                <w:b/>
              </w:rPr>
              <w:t>DE</w:t>
            </w:r>
            <w:r>
              <w:rPr>
                <w:b/>
                <w:spacing w:val="-6"/>
              </w:rPr>
              <w:t xml:space="preserve"> </w:t>
            </w:r>
            <w:r>
              <w:rPr>
                <w:b/>
              </w:rPr>
              <w:t>ULTRASSOM</w:t>
            </w:r>
            <w:r>
              <w:rPr>
                <w:b/>
                <w:spacing w:val="-7"/>
              </w:rPr>
              <w:t xml:space="preserve"> </w:t>
            </w:r>
            <w:r>
              <w:rPr>
                <w:b/>
              </w:rPr>
              <w:t>ODONTOLÓGICO</w:t>
            </w:r>
            <w:r>
              <w:rPr>
                <w:b/>
                <w:spacing w:val="-7"/>
              </w:rPr>
              <w:t xml:space="preserve"> </w:t>
            </w:r>
            <w:r>
              <w:rPr>
                <w:b/>
                <w:spacing w:val="-10"/>
              </w:rPr>
              <w:t>–</w:t>
            </w:r>
          </w:p>
          <w:p>
            <w:pPr>
              <w:pStyle w:val="39"/>
              <w:ind w:right="111"/>
              <w:jc w:val="both"/>
            </w:pPr>
            <w:r>
              <w:t>Acoplado com jato de bicarbonato, com no mínimo três (3) pontas, 220 V. ou Bivolt. Com registro</w:t>
            </w:r>
            <w:r>
              <w:rPr>
                <w:spacing w:val="-7"/>
              </w:rPr>
              <w:t xml:space="preserve"> </w:t>
            </w:r>
            <w:r>
              <w:t>ANVISA.</w:t>
            </w:r>
            <w:r>
              <w:rPr>
                <w:spacing w:val="-6"/>
              </w:rPr>
              <w:t xml:space="preserve"> </w:t>
            </w:r>
            <w:r>
              <w:t>Marca</w:t>
            </w:r>
            <w:r>
              <w:rPr>
                <w:spacing w:val="-9"/>
              </w:rPr>
              <w:t xml:space="preserve"> </w:t>
            </w:r>
            <w:r>
              <w:t>de</w:t>
            </w:r>
            <w:r>
              <w:rPr>
                <w:spacing w:val="-8"/>
              </w:rPr>
              <w:t xml:space="preserve"> </w:t>
            </w:r>
            <w:r>
              <w:t>referência</w:t>
            </w:r>
            <w:r>
              <w:rPr>
                <w:spacing w:val="-9"/>
              </w:rPr>
              <w:t xml:space="preserve"> </w:t>
            </w:r>
            <w:r>
              <w:t xml:space="preserve">sugerida: Saevo; Schuster (Emitter D bivolt); </w:t>
            </w:r>
          </w:p>
        </w:tc>
        <w:tc>
          <w:tcPr>
            <w:tcW w:w="550" w:type="pct"/>
            <w:vAlign w:val="center"/>
          </w:tcPr>
          <w:p>
            <w:pPr>
              <w:spacing w:after="0" w:line="240" w:lineRule="auto"/>
              <w:jc w:val="center"/>
              <w:rPr>
                <w:rFonts w:cstheme="minorHAnsi"/>
                <w:sz w:val="16"/>
                <w:szCs w:val="16"/>
              </w:rPr>
            </w:pPr>
          </w:p>
        </w:tc>
        <w:tc>
          <w:tcPr>
            <w:tcW w:w="390" w:type="pct"/>
            <w:vAlign w:val="center"/>
          </w:tcPr>
          <w:p>
            <w:pPr>
              <w:spacing w:after="0" w:line="240" w:lineRule="auto"/>
              <w:jc w:val="center"/>
              <w:rPr>
                <w:rFonts w:cstheme="minorHAnsi"/>
              </w:rPr>
            </w:pPr>
            <w:r>
              <w:rPr>
                <w:rFonts w:cstheme="minorHAnsi"/>
              </w:rPr>
              <w:t>UNID</w:t>
            </w:r>
          </w:p>
        </w:tc>
        <w:tc>
          <w:tcPr>
            <w:tcW w:w="494" w:type="pct"/>
            <w:vAlign w:val="center"/>
          </w:tcPr>
          <w:p>
            <w:pPr>
              <w:spacing w:after="0" w:line="240" w:lineRule="auto"/>
              <w:jc w:val="center"/>
              <w:rPr>
                <w:rFonts w:cstheme="minorHAnsi"/>
              </w:rPr>
            </w:pPr>
            <w:r>
              <w:rPr>
                <w:rFonts w:cstheme="minorHAnsi"/>
              </w:rPr>
              <w:t>21</w:t>
            </w:r>
          </w:p>
        </w:tc>
        <w:tc>
          <w:tcPr>
            <w:tcW w:w="543" w:type="pct"/>
            <w:vAlign w:val="center"/>
          </w:tcPr>
          <w:p>
            <w:pPr>
              <w:spacing w:after="0" w:line="240" w:lineRule="auto"/>
              <w:jc w:val="center"/>
              <w:rPr>
                <w:rFonts w:cstheme="minorHAnsi"/>
                <w:sz w:val="16"/>
                <w:szCs w:val="16"/>
              </w:rPr>
            </w:pPr>
          </w:p>
        </w:tc>
        <w:tc>
          <w:tcPr>
            <w:tcW w:w="480" w:type="pct"/>
            <w:vAlign w:val="center"/>
          </w:tcPr>
          <w:p>
            <w:pPr>
              <w:spacing w:after="0" w:line="240" w:lineRule="auto"/>
              <w:jc w:val="center"/>
              <w:rPr>
                <w:rFonts w:cstheme="minorHAns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69" w:type="pct"/>
            <w:vAlign w:val="center"/>
          </w:tcPr>
          <w:p>
            <w:pPr>
              <w:spacing w:after="0" w:line="240" w:lineRule="auto"/>
              <w:jc w:val="center"/>
              <w:rPr>
                <w:b/>
                <w:bCs/>
                <w:sz w:val="20"/>
                <w:szCs w:val="20"/>
              </w:rPr>
            </w:pPr>
            <w:r>
              <w:rPr>
                <w:b/>
                <w:bCs/>
                <w:sz w:val="20"/>
                <w:szCs w:val="20"/>
              </w:rPr>
              <w:t>08</w:t>
            </w:r>
          </w:p>
        </w:tc>
        <w:tc>
          <w:tcPr>
            <w:tcW w:w="2172" w:type="pct"/>
            <w:vAlign w:val="center"/>
          </w:tcPr>
          <w:p>
            <w:pPr>
              <w:pStyle w:val="39"/>
              <w:spacing w:line="267" w:lineRule="exact"/>
              <w:jc w:val="both"/>
              <w:rPr>
                <w:b/>
              </w:rPr>
            </w:pPr>
            <w:r>
              <w:rPr>
                <w:b/>
              </w:rPr>
              <w:t>CONSULTÓRIO</w:t>
            </w:r>
            <w:r>
              <w:rPr>
                <w:b/>
                <w:spacing w:val="-12"/>
              </w:rPr>
              <w:t xml:space="preserve"> </w:t>
            </w:r>
            <w:r>
              <w:rPr>
                <w:b/>
              </w:rPr>
              <w:t>ODONTOLÓGICO</w:t>
            </w:r>
            <w:r>
              <w:rPr>
                <w:b/>
                <w:spacing w:val="-9"/>
              </w:rPr>
              <w:t xml:space="preserve"> </w:t>
            </w:r>
            <w:r>
              <w:rPr>
                <w:b/>
              </w:rPr>
              <w:t>COMPLETO</w:t>
            </w:r>
            <w:r>
              <w:rPr>
                <w:b/>
                <w:spacing w:val="-7"/>
              </w:rPr>
              <w:t xml:space="preserve"> </w:t>
            </w:r>
            <w:r>
              <w:rPr>
                <w:b/>
                <w:spacing w:val="-10"/>
              </w:rPr>
              <w:t>–</w:t>
            </w:r>
          </w:p>
          <w:p>
            <w:pPr>
              <w:pStyle w:val="39"/>
              <w:ind w:right="162"/>
              <w:jc w:val="both"/>
              <w:rPr>
                <w:rFonts w:cstheme="minorHAnsi"/>
                <w:sz w:val="16"/>
                <w:szCs w:val="16"/>
              </w:rPr>
            </w:pPr>
            <w:r>
              <w:t>Composto de cadeira, braço mecânico ambidestro e articulado, refletor, com Kart rodízios para três pontas (terminais), acionamento a pedal, mocho e unidade auxiliar com 1 ou até 2 sugadores, com bandeja para instrumentos (suporte integrado para instrumentos), 220</w:t>
            </w:r>
            <w:r>
              <w:rPr>
                <w:spacing w:val="-2"/>
              </w:rPr>
              <w:t xml:space="preserve"> </w:t>
            </w:r>
            <w:r>
              <w:t>V. ou</w:t>
            </w:r>
            <w:r>
              <w:rPr>
                <w:spacing w:val="-4"/>
              </w:rPr>
              <w:t xml:space="preserve"> </w:t>
            </w:r>
            <w:r>
              <w:t>Bivolt. Com</w:t>
            </w:r>
            <w:r>
              <w:rPr>
                <w:spacing w:val="-1"/>
              </w:rPr>
              <w:t xml:space="preserve"> </w:t>
            </w:r>
            <w:r>
              <w:t>cuspideira. Encosto de cabeça biarticulado, rebatível ou totalmente</w:t>
            </w:r>
            <w:r>
              <w:rPr>
                <w:spacing w:val="-7"/>
              </w:rPr>
              <w:t xml:space="preserve"> </w:t>
            </w:r>
            <w:r>
              <w:t>articulado.</w:t>
            </w:r>
            <w:r>
              <w:rPr>
                <w:spacing w:val="-10"/>
              </w:rPr>
              <w:t xml:space="preserve"> </w:t>
            </w:r>
            <w:r>
              <w:t>Estofamento</w:t>
            </w:r>
            <w:r>
              <w:rPr>
                <w:spacing w:val="-8"/>
              </w:rPr>
              <w:t xml:space="preserve"> </w:t>
            </w:r>
            <w:r>
              <w:t xml:space="preserve">ergonômico (confortável) e de preferência sem costura para melhor higienização. Com registro ANVISA. </w:t>
            </w:r>
          </w:p>
          <w:p>
            <w:pPr>
              <w:spacing w:after="0" w:line="240" w:lineRule="auto"/>
              <w:jc w:val="both"/>
              <w:rPr>
                <w:rFonts w:cstheme="minorHAnsi"/>
                <w:sz w:val="16"/>
                <w:szCs w:val="16"/>
              </w:rPr>
            </w:pPr>
          </w:p>
        </w:tc>
        <w:tc>
          <w:tcPr>
            <w:tcW w:w="550" w:type="pct"/>
            <w:vAlign w:val="center"/>
          </w:tcPr>
          <w:p>
            <w:pPr>
              <w:spacing w:after="0" w:line="240" w:lineRule="auto"/>
              <w:jc w:val="center"/>
              <w:rPr>
                <w:rFonts w:cstheme="minorHAnsi"/>
                <w:sz w:val="16"/>
                <w:szCs w:val="16"/>
              </w:rPr>
            </w:pPr>
          </w:p>
        </w:tc>
        <w:tc>
          <w:tcPr>
            <w:tcW w:w="390" w:type="pct"/>
            <w:vAlign w:val="center"/>
          </w:tcPr>
          <w:p>
            <w:pPr>
              <w:spacing w:after="0" w:line="240" w:lineRule="auto"/>
              <w:jc w:val="center"/>
              <w:rPr>
                <w:rFonts w:cstheme="minorHAnsi"/>
              </w:rPr>
            </w:pPr>
            <w:r>
              <w:rPr>
                <w:rFonts w:cstheme="minorHAnsi"/>
              </w:rPr>
              <w:t>UNID</w:t>
            </w:r>
          </w:p>
        </w:tc>
        <w:tc>
          <w:tcPr>
            <w:tcW w:w="494" w:type="pct"/>
            <w:vAlign w:val="center"/>
          </w:tcPr>
          <w:p>
            <w:pPr>
              <w:spacing w:after="0" w:line="240" w:lineRule="auto"/>
              <w:jc w:val="center"/>
              <w:rPr>
                <w:rFonts w:cstheme="minorHAnsi"/>
              </w:rPr>
            </w:pPr>
            <w:r>
              <w:rPr>
                <w:rFonts w:cstheme="minorHAnsi"/>
              </w:rPr>
              <w:t>19</w:t>
            </w:r>
          </w:p>
        </w:tc>
        <w:tc>
          <w:tcPr>
            <w:tcW w:w="543" w:type="pct"/>
            <w:vAlign w:val="center"/>
          </w:tcPr>
          <w:p>
            <w:pPr>
              <w:spacing w:after="0" w:line="240" w:lineRule="auto"/>
              <w:jc w:val="center"/>
              <w:rPr>
                <w:rFonts w:cstheme="minorHAnsi"/>
                <w:sz w:val="16"/>
                <w:szCs w:val="16"/>
                <w:lang w:val="en-US"/>
              </w:rPr>
            </w:pPr>
          </w:p>
        </w:tc>
        <w:tc>
          <w:tcPr>
            <w:tcW w:w="480" w:type="pct"/>
            <w:vAlign w:val="center"/>
          </w:tcPr>
          <w:p>
            <w:pPr>
              <w:spacing w:after="0" w:line="240" w:lineRule="auto"/>
              <w:jc w:val="center"/>
              <w:rPr>
                <w:rFonts w:cstheme="minorHAns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69" w:type="pct"/>
            <w:vAlign w:val="center"/>
          </w:tcPr>
          <w:p>
            <w:pPr>
              <w:spacing w:after="0" w:line="240" w:lineRule="auto"/>
              <w:jc w:val="center"/>
              <w:rPr>
                <w:b/>
                <w:bCs/>
                <w:sz w:val="20"/>
                <w:szCs w:val="20"/>
              </w:rPr>
            </w:pPr>
            <w:r>
              <w:rPr>
                <w:b/>
                <w:bCs/>
                <w:sz w:val="20"/>
                <w:szCs w:val="20"/>
              </w:rPr>
              <w:t>09</w:t>
            </w:r>
          </w:p>
        </w:tc>
        <w:tc>
          <w:tcPr>
            <w:tcW w:w="2172" w:type="pct"/>
            <w:vAlign w:val="center"/>
          </w:tcPr>
          <w:p>
            <w:pPr>
              <w:pStyle w:val="39"/>
              <w:spacing w:line="252" w:lineRule="auto"/>
              <w:ind w:right="111"/>
              <w:jc w:val="both"/>
            </w:pPr>
            <w:r>
              <w:rPr>
                <w:b/>
              </w:rPr>
              <w:t xml:space="preserve">MOTOR DE BANCADA: </w:t>
            </w:r>
            <w:r>
              <w:t>Equipamento odontológico</w:t>
            </w:r>
            <w:r>
              <w:rPr>
                <w:spacing w:val="-12"/>
              </w:rPr>
              <w:t xml:space="preserve"> </w:t>
            </w:r>
            <w:r>
              <w:t>para</w:t>
            </w:r>
            <w:r>
              <w:rPr>
                <w:spacing w:val="-11"/>
              </w:rPr>
              <w:t xml:space="preserve"> </w:t>
            </w:r>
            <w:r>
              <w:t>laboratório/bancada,</w:t>
            </w:r>
            <w:r>
              <w:rPr>
                <w:spacing w:val="-13"/>
              </w:rPr>
              <w:t xml:space="preserve"> </w:t>
            </w:r>
            <w:r>
              <w:t>para acabamento e polimento em próteses.</w:t>
            </w:r>
          </w:p>
          <w:p>
            <w:pPr>
              <w:pStyle w:val="39"/>
              <w:spacing w:before="2" w:line="252" w:lineRule="auto"/>
              <w:ind w:right="111"/>
              <w:jc w:val="both"/>
            </w:pPr>
            <w:r>
              <w:t xml:space="preserve">Características do Micromotor. Categoria: </w:t>
            </w:r>
            <w:r>
              <w:fldChar w:fldCharType="begin"/>
            </w:r>
            <w:r>
              <w:instrText xml:space="preserve"> HYPERLINK "https://www.dentalcremer.com.br/equipamentos-laboratoriais/micromotor-de-bancada.html" \h </w:instrText>
            </w:r>
            <w:r>
              <w:fldChar w:fldCharType="separate"/>
            </w:r>
            <w:r>
              <w:rPr>
                <w:b/>
                <w:u w:val="single"/>
              </w:rPr>
              <w:t>Micromotor</w:t>
            </w:r>
            <w:r>
              <w:rPr>
                <w:b/>
                <w:u w:val="single"/>
              </w:rPr>
              <w:fldChar w:fldCharType="end"/>
            </w:r>
            <w:r>
              <w:rPr>
                <w:b/>
                <w:spacing w:val="-5"/>
                <w:u w:val="single"/>
              </w:rPr>
              <w:t xml:space="preserve"> </w:t>
            </w:r>
            <w:r>
              <w:fldChar w:fldCharType="begin"/>
            </w:r>
            <w:r>
              <w:instrText xml:space="preserve"> HYPERLINK "https://www.dentalcremer.com.br/equipamentos-laboratoriais/micromotor-de-bancada.html" \h </w:instrText>
            </w:r>
            <w:r>
              <w:fldChar w:fldCharType="separate"/>
            </w:r>
            <w:r>
              <w:rPr>
                <w:b/>
                <w:u w:val="single"/>
              </w:rPr>
              <w:t>de</w:t>
            </w:r>
            <w:r>
              <w:rPr>
                <w:b/>
                <w:u w:val="single"/>
              </w:rPr>
              <w:fldChar w:fldCharType="end"/>
            </w:r>
            <w:r>
              <w:rPr>
                <w:b/>
                <w:spacing w:val="-6"/>
                <w:u w:val="single"/>
              </w:rPr>
              <w:t xml:space="preserve"> </w:t>
            </w:r>
            <w:r>
              <w:fldChar w:fldCharType="begin"/>
            </w:r>
            <w:r>
              <w:instrText xml:space="preserve"> HYPERLINK "https://www.dentalcremer.com.br/equipamentos-laboratoriais/micromotor-de-bancada.html" \h </w:instrText>
            </w:r>
            <w:r>
              <w:fldChar w:fldCharType="separate"/>
            </w:r>
            <w:r>
              <w:rPr>
                <w:b/>
                <w:u w:val="single"/>
              </w:rPr>
              <w:t>Bancada</w:t>
            </w:r>
            <w:r>
              <w:t>.</w:t>
            </w:r>
            <w:r>
              <w:fldChar w:fldCharType="end"/>
            </w:r>
            <w:r>
              <w:rPr>
                <w:spacing w:val="-6"/>
              </w:rPr>
              <w:t xml:space="preserve"> </w:t>
            </w:r>
            <w:r>
              <w:t>Tensão</w:t>
            </w:r>
            <w:r>
              <w:rPr>
                <w:spacing w:val="-8"/>
              </w:rPr>
              <w:t xml:space="preserve"> </w:t>
            </w:r>
            <w:r>
              <w:t>elétrica:</w:t>
            </w:r>
            <w:r>
              <w:rPr>
                <w:spacing w:val="-8"/>
              </w:rPr>
              <w:t xml:space="preserve"> </w:t>
            </w:r>
            <w:r>
              <w:t>220</w:t>
            </w:r>
            <w:r>
              <w:rPr>
                <w:spacing w:val="-8"/>
              </w:rPr>
              <w:t xml:space="preserve"> </w:t>
            </w:r>
            <w:r>
              <w:t>v ou Bivolt. RPM: aproximadamente 35.000.</w:t>
            </w:r>
          </w:p>
          <w:p>
            <w:pPr>
              <w:pStyle w:val="39"/>
              <w:spacing w:before="5" w:line="252" w:lineRule="auto"/>
              <w:jc w:val="both"/>
            </w:pPr>
            <w:r>
              <w:t>Potência:</w:t>
            </w:r>
            <w:r>
              <w:rPr>
                <w:spacing w:val="-7"/>
              </w:rPr>
              <w:t xml:space="preserve"> </w:t>
            </w:r>
            <w:r>
              <w:t>aproximada</w:t>
            </w:r>
            <w:r>
              <w:rPr>
                <w:spacing w:val="-7"/>
              </w:rPr>
              <w:t xml:space="preserve"> </w:t>
            </w:r>
            <w:r>
              <w:t>45</w:t>
            </w:r>
            <w:r>
              <w:rPr>
                <w:spacing w:val="-9"/>
              </w:rPr>
              <w:t xml:space="preserve"> </w:t>
            </w:r>
            <w:r>
              <w:t>w.</w:t>
            </w:r>
            <w:r>
              <w:rPr>
                <w:spacing w:val="-7"/>
              </w:rPr>
              <w:t xml:space="preserve"> </w:t>
            </w:r>
            <w:r>
              <w:t>Torque</w:t>
            </w:r>
            <w:r>
              <w:rPr>
                <w:spacing w:val="-9"/>
              </w:rPr>
              <w:t xml:space="preserve"> </w:t>
            </w:r>
            <w:r>
              <w:t>máximo aproximado: 300 gf-cm / 2,94N. Dimensões aproximadas 8 x 12 x 15 cm. Caneta com 4 rolamentos blindados. Controle manual de velocidade. Chave para rotação inversa.</w:t>
            </w:r>
          </w:p>
          <w:p>
            <w:pPr>
              <w:spacing w:after="0" w:line="240" w:lineRule="auto"/>
              <w:jc w:val="both"/>
              <w:rPr>
                <w:rFonts w:cstheme="minorHAnsi"/>
                <w:sz w:val="16"/>
                <w:szCs w:val="16"/>
              </w:rPr>
            </w:pPr>
            <w:r>
              <w:t>Pedal</w:t>
            </w:r>
            <w:r>
              <w:rPr>
                <w:spacing w:val="-10"/>
              </w:rPr>
              <w:t xml:space="preserve"> </w:t>
            </w:r>
            <w:r>
              <w:t>liga/desliga.</w:t>
            </w:r>
            <w:r>
              <w:rPr>
                <w:spacing w:val="-9"/>
              </w:rPr>
              <w:t xml:space="preserve"> </w:t>
            </w:r>
            <w:r>
              <w:t>Sistema</w:t>
            </w:r>
            <w:r>
              <w:rPr>
                <w:spacing w:val="-11"/>
              </w:rPr>
              <w:t xml:space="preserve"> </w:t>
            </w:r>
            <w:r>
              <w:t>overload</w:t>
            </w:r>
            <w:r>
              <w:rPr>
                <w:spacing w:val="-10"/>
              </w:rPr>
              <w:t xml:space="preserve"> </w:t>
            </w:r>
            <w:r>
              <w:t>para proteção de sobrecarga.</w:t>
            </w:r>
          </w:p>
        </w:tc>
        <w:tc>
          <w:tcPr>
            <w:tcW w:w="550" w:type="pct"/>
            <w:vAlign w:val="center"/>
          </w:tcPr>
          <w:p>
            <w:pPr>
              <w:spacing w:after="0" w:line="240" w:lineRule="auto"/>
              <w:jc w:val="center"/>
              <w:rPr>
                <w:rFonts w:cstheme="minorHAnsi"/>
                <w:sz w:val="16"/>
                <w:szCs w:val="16"/>
              </w:rPr>
            </w:pPr>
          </w:p>
        </w:tc>
        <w:tc>
          <w:tcPr>
            <w:tcW w:w="390" w:type="pct"/>
            <w:vAlign w:val="center"/>
          </w:tcPr>
          <w:p>
            <w:pPr>
              <w:spacing w:after="0" w:line="240" w:lineRule="auto"/>
              <w:jc w:val="center"/>
              <w:rPr>
                <w:rFonts w:cstheme="minorHAnsi"/>
              </w:rPr>
            </w:pPr>
            <w:r>
              <w:rPr>
                <w:rFonts w:cstheme="minorHAnsi"/>
              </w:rPr>
              <w:t>UNID</w:t>
            </w:r>
          </w:p>
        </w:tc>
        <w:tc>
          <w:tcPr>
            <w:tcW w:w="494" w:type="pct"/>
            <w:vAlign w:val="center"/>
          </w:tcPr>
          <w:p>
            <w:pPr>
              <w:spacing w:after="0" w:line="240" w:lineRule="auto"/>
              <w:jc w:val="center"/>
              <w:rPr>
                <w:rFonts w:cstheme="minorHAnsi"/>
              </w:rPr>
            </w:pPr>
            <w:r>
              <w:rPr>
                <w:rFonts w:cstheme="minorHAnsi"/>
              </w:rPr>
              <w:t>04</w:t>
            </w:r>
          </w:p>
        </w:tc>
        <w:tc>
          <w:tcPr>
            <w:tcW w:w="543" w:type="pct"/>
            <w:vAlign w:val="center"/>
          </w:tcPr>
          <w:p>
            <w:pPr>
              <w:spacing w:after="0" w:line="240" w:lineRule="auto"/>
              <w:jc w:val="center"/>
              <w:rPr>
                <w:rFonts w:cstheme="minorHAnsi"/>
                <w:sz w:val="16"/>
                <w:szCs w:val="16"/>
              </w:rPr>
            </w:pPr>
          </w:p>
        </w:tc>
        <w:tc>
          <w:tcPr>
            <w:tcW w:w="480" w:type="pct"/>
            <w:vAlign w:val="center"/>
          </w:tcPr>
          <w:p>
            <w:pPr>
              <w:spacing w:after="0" w:line="240" w:lineRule="auto"/>
              <w:jc w:val="center"/>
              <w:rPr>
                <w:rFonts w:cstheme="minorHAnsi"/>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69" w:type="pct"/>
            <w:vAlign w:val="center"/>
          </w:tcPr>
          <w:p>
            <w:pPr>
              <w:spacing w:after="0" w:line="240" w:lineRule="auto"/>
              <w:jc w:val="center"/>
              <w:rPr>
                <w:b/>
                <w:bCs/>
                <w:sz w:val="20"/>
                <w:szCs w:val="20"/>
              </w:rPr>
            </w:pPr>
            <w:r>
              <w:rPr>
                <w:b/>
                <w:bCs/>
                <w:sz w:val="20"/>
                <w:szCs w:val="20"/>
              </w:rPr>
              <w:t>10</w:t>
            </w:r>
          </w:p>
        </w:tc>
        <w:tc>
          <w:tcPr>
            <w:tcW w:w="2172" w:type="pct"/>
            <w:vAlign w:val="center"/>
          </w:tcPr>
          <w:p>
            <w:pPr>
              <w:spacing w:after="0" w:line="240" w:lineRule="auto"/>
              <w:ind w:left="9" w:leftChars="0" w:hanging="9" w:firstLineChars="0"/>
              <w:jc w:val="both"/>
              <w:rPr>
                <w:rFonts w:cstheme="minorHAnsi"/>
                <w:sz w:val="16"/>
                <w:szCs w:val="16"/>
              </w:rPr>
            </w:pPr>
            <w:r>
              <w:rPr>
                <w:b/>
              </w:rPr>
              <w:t>DESTILADOR</w:t>
            </w:r>
            <w:r>
              <w:rPr>
                <w:b/>
                <w:spacing w:val="-6"/>
              </w:rPr>
              <w:t xml:space="preserve"> </w:t>
            </w:r>
            <w:r>
              <w:rPr>
                <w:b/>
              </w:rPr>
              <w:t>DE</w:t>
            </w:r>
            <w:r>
              <w:rPr>
                <w:b/>
                <w:spacing w:val="-8"/>
              </w:rPr>
              <w:t xml:space="preserve"> </w:t>
            </w:r>
            <w:r>
              <w:rPr>
                <w:b/>
              </w:rPr>
              <w:t>ÁGUA</w:t>
            </w:r>
            <w:r>
              <w:rPr>
                <w:b/>
                <w:spacing w:val="-7"/>
              </w:rPr>
              <w:t xml:space="preserve"> </w:t>
            </w:r>
            <w:r>
              <w:t>–</w:t>
            </w:r>
            <w:r>
              <w:rPr>
                <w:spacing w:val="-8"/>
              </w:rPr>
              <w:t xml:space="preserve"> </w:t>
            </w:r>
            <w:r>
              <w:t>De</w:t>
            </w:r>
            <w:r>
              <w:rPr>
                <w:spacing w:val="-6"/>
              </w:rPr>
              <w:t xml:space="preserve"> </w:t>
            </w:r>
            <w:r>
              <w:t>bancada,</w:t>
            </w:r>
            <w:r>
              <w:rPr>
                <w:spacing w:val="-6"/>
              </w:rPr>
              <w:t xml:space="preserve"> </w:t>
            </w:r>
            <w:r>
              <w:t>capacidade reservatório 4 a 5 L. Características adicionais: cuba interna em aço inoxidável. Com recipiente para armazenar a água destilada. No mínimo 1L/H. Bivolt ou 220 V.</w:t>
            </w:r>
          </w:p>
        </w:tc>
        <w:tc>
          <w:tcPr>
            <w:tcW w:w="550" w:type="pct"/>
            <w:vAlign w:val="center"/>
          </w:tcPr>
          <w:p>
            <w:pPr>
              <w:spacing w:after="0" w:line="240" w:lineRule="auto"/>
              <w:jc w:val="center"/>
              <w:rPr>
                <w:rFonts w:cstheme="minorHAnsi"/>
                <w:sz w:val="16"/>
                <w:szCs w:val="16"/>
                <w:lang w:val="en-US"/>
              </w:rPr>
            </w:pPr>
          </w:p>
        </w:tc>
        <w:tc>
          <w:tcPr>
            <w:tcW w:w="390" w:type="pct"/>
            <w:vAlign w:val="center"/>
          </w:tcPr>
          <w:p>
            <w:pPr>
              <w:spacing w:after="0" w:line="240" w:lineRule="auto"/>
              <w:jc w:val="center"/>
              <w:rPr>
                <w:rFonts w:cstheme="minorHAnsi"/>
                <w:lang w:val="en-US"/>
              </w:rPr>
            </w:pPr>
            <w:r>
              <w:rPr>
                <w:rFonts w:cstheme="minorHAnsi"/>
              </w:rPr>
              <w:t>UNID</w:t>
            </w:r>
          </w:p>
        </w:tc>
        <w:tc>
          <w:tcPr>
            <w:tcW w:w="494" w:type="pct"/>
            <w:vAlign w:val="center"/>
          </w:tcPr>
          <w:p>
            <w:pPr>
              <w:spacing w:after="0" w:line="240" w:lineRule="auto"/>
              <w:jc w:val="center"/>
              <w:rPr>
                <w:rFonts w:cstheme="minorHAnsi"/>
                <w:lang w:val="en-US"/>
              </w:rPr>
            </w:pPr>
            <w:r>
              <w:rPr>
                <w:rFonts w:cstheme="minorHAnsi"/>
                <w:lang w:val="en-US"/>
              </w:rPr>
              <w:t>23</w:t>
            </w:r>
          </w:p>
        </w:tc>
        <w:tc>
          <w:tcPr>
            <w:tcW w:w="543" w:type="pct"/>
            <w:vAlign w:val="center"/>
          </w:tcPr>
          <w:p>
            <w:pPr>
              <w:spacing w:after="0" w:line="240" w:lineRule="auto"/>
              <w:jc w:val="center"/>
              <w:rPr>
                <w:rFonts w:cstheme="minorHAnsi"/>
                <w:sz w:val="16"/>
                <w:szCs w:val="16"/>
              </w:rPr>
            </w:pPr>
          </w:p>
        </w:tc>
        <w:tc>
          <w:tcPr>
            <w:tcW w:w="480" w:type="pct"/>
            <w:vAlign w:val="center"/>
          </w:tcPr>
          <w:p>
            <w:pPr>
              <w:spacing w:after="0" w:line="240" w:lineRule="auto"/>
              <w:jc w:val="center"/>
              <w:rPr>
                <w:rFonts w:cstheme="minorHAnsi"/>
                <w:sz w:val="16"/>
                <w:szCs w:val="1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69" w:type="pct"/>
            <w:vAlign w:val="center"/>
          </w:tcPr>
          <w:p>
            <w:pPr>
              <w:spacing w:after="0" w:line="240" w:lineRule="auto"/>
              <w:jc w:val="center"/>
              <w:rPr>
                <w:b/>
                <w:bCs/>
                <w:sz w:val="20"/>
                <w:szCs w:val="20"/>
              </w:rPr>
            </w:pPr>
            <w:r>
              <w:rPr>
                <w:b/>
                <w:bCs/>
                <w:sz w:val="20"/>
                <w:szCs w:val="20"/>
              </w:rPr>
              <w:t>11</w:t>
            </w:r>
          </w:p>
        </w:tc>
        <w:tc>
          <w:tcPr>
            <w:tcW w:w="2172" w:type="pct"/>
            <w:vAlign w:val="center"/>
          </w:tcPr>
          <w:p>
            <w:pPr>
              <w:pStyle w:val="39"/>
              <w:ind w:right="136"/>
              <w:jc w:val="both"/>
            </w:pPr>
            <w:r>
              <w:rPr>
                <w:b/>
              </w:rPr>
              <w:t xml:space="preserve">MOCHO ODONTOLÓGICO </w:t>
            </w:r>
            <w:r>
              <w:t>- Estrutura em aço, com estofamento em espuma de alta densidade e</w:t>
            </w:r>
            <w:r>
              <w:rPr>
                <w:spacing w:val="-6"/>
              </w:rPr>
              <w:t xml:space="preserve"> </w:t>
            </w:r>
            <w:r>
              <w:t>resistente,</w:t>
            </w:r>
            <w:r>
              <w:rPr>
                <w:spacing w:val="-6"/>
              </w:rPr>
              <w:t xml:space="preserve"> </w:t>
            </w:r>
            <w:r>
              <w:t>revestimento</w:t>
            </w:r>
            <w:r>
              <w:rPr>
                <w:spacing w:val="-6"/>
              </w:rPr>
              <w:t xml:space="preserve"> </w:t>
            </w:r>
            <w:r>
              <w:t>em</w:t>
            </w:r>
            <w:r>
              <w:rPr>
                <w:spacing w:val="-5"/>
              </w:rPr>
              <w:t xml:space="preserve"> </w:t>
            </w:r>
            <w:r>
              <w:t>pvc</w:t>
            </w:r>
            <w:r>
              <w:rPr>
                <w:spacing w:val="-7"/>
              </w:rPr>
              <w:t xml:space="preserve"> </w:t>
            </w:r>
            <w:r>
              <w:t>ou</w:t>
            </w:r>
            <w:r>
              <w:rPr>
                <w:spacing w:val="-6"/>
              </w:rPr>
              <w:t xml:space="preserve"> </w:t>
            </w:r>
            <w:r>
              <w:t>similar</w:t>
            </w:r>
            <w:r>
              <w:rPr>
                <w:spacing w:val="-6"/>
              </w:rPr>
              <w:t xml:space="preserve"> </w:t>
            </w:r>
            <w:r>
              <w:t>sem costuras e de fácil assepsia, base giratória, movimentos acionados através de alavanca e amortecidos por sistema de gás para regulagem (posicionamento de altura), pés com cinco rodízios duplos. Encosto lombar com regulagem. Capacidade de carga: aproximadamente 135kg.</w:t>
            </w:r>
          </w:p>
        </w:tc>
        <w:tc>
          <w:tcPr>
            <w:tcW w:w="550" w:type="pct"/>
            <w:vAlign w:val="center"/>
          </w:tcPr>
          <w:p>
            <w:pPr>
              <w:spacing w:after="0" w:line="240" w:lineRule="auto"/>
              <w:jc w:val="center"/>
              <w:rPr>
                <w:rFonts w:cstheme="minorHAnsi"/>
                <w:sz w:val="16"/>
                <w:szCs w:val="16"/>
              </w:rPr>
            </w:pPr>
          </w:p>
        </w:tc>
        <w:tc>
          <w:tcPr>
            <w:tcW w:w="390" w:type="pct"/>
            <w:vAlign w:val="center"/>
          </w:tcPr>
          <w:p>
            <w:pPr>
              <w:spacing w:after="0" w:line="240" w:lineRule="auto"/>
              <w:jc w:val="center"/>
              <w:rPr>
                <w:rFonts w:cstheme="minorHAnsi"/>
              </w:rPr>
            </w:pPr>
            <w:r>
              <w:rPr>
                <w:rFonts w:cstheme="minorHAnsi"/>
              </w:rPr>
              <w:t>UNID</w:t>
            </w:r>
          </w:p>
        </w:tc>
        <w:tc>
          <w:tcPr>
            <w:tcW w:w="494" w:type="pct"/>
            <w:vAlign w:val="center"/>
          </w:tcPr>
          <w:p>
            <w:pPr>
              <w:spacing w:after="0" w:line="240" w:lineRule="auto"/>
              <w:jc w:val="center"/>
              <w:rPr>
                <w:rFonts w:cstheme="minorHAnsi"/>
              </w:rPr>
            </w:pPr>
            <w:r>
              <w:rPr>
                <w:rFonts w:cstheme="minorHAnsi"/>
              </w:rPr>
              <w:t>15</w:t>
            </w:r>
          </w:p>
        </w:tc>
        <w:tc>
          <w:tcPr>
            <w:tcW w:w="543" w:type="pct"/>
            <w:vAlign w:val="center"/>
          </w:tcPr>
          <w:p>
            <w:pPr>
              <w:spacing w:after="0" w:line="240" w:lineRule="auto"/>
              <w:jc w:val="center"/>
              <w:rPr>
                <w:rFonts w:cstheme="minorHAnsi"/>
                <w:sz w:val="16"/>
                <w:szCs w:val="16"/>
              </w:rPr>
            </w:pPr>
          </w:p>
        </w:tc>
        <w:tc>
          <w:tcPr>
            <w:tcW w:w="480" w:type="pct"/>
            <w:vAlign w:val="center"/>
          </w:tcPr>
          <w:p>
            <w:pPr>
              <w:spacing w:after="0" w:line="240" w:lineRule="auto"/>
              <w:jc w:val="center"/>
              <w:rPr>
                <w:rFonts w:cstheme="minorHAnsi"/>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69" w:type="pct"/>
            <w:vAlign w:val="center"/>
          </w:tcPr>
          <w:p>
            <w:pPr>
              <w:spacing w:after="0" w:line="240" w:lineRule="auto"/>
              <w:jc w:val="center"/>
              <w:rPr>
                <w:b/>
                <w:bCs/>
                <w:sz w:val="20"/>
                <w:szCs w:val="20"/>
              </w:rPr>
            </w:pPr>
            <w:r>
              <w:rPr>
                <w:b/>
                <w:bCs/>
                <w:sz w:val="20"/>
                <w:szCs w:val="20"/>
              </w:rPr>
              <w:t>12</w:t>
            </w:r>
          </w:p>
        </w:tc>
        <w:tc>
          <w:tcPr>
            <w:tcW w:w="2172" w:type="pct"/>
            <w:vAlign w:val="center"/>
          </w:tcPr>
          <w:p>
            <w:pPr>
              <w:widowControl w:val="0"/>
              <w:tabs>
                <w:tab w:val="left" w:pos="1224"/>
                <w:tab w:val="left" w:pos="1954"/>
                <w:tab w:val="left" w:pos="3092"/>
              </w:tabs>
              <w:autoSpaceDE w:val="0"/>
              <w:autoSpaceDN w:val="0"/>
              <w:spacing w:after="0"/>
              <w:ind w:left="0" w:leftChars="0" w:right="39" w:firstLine="0" w:firstLineChars="0"/>
              <w:jc w:val="both"/>
              <w:rPr>
                <w:rFonts w:ascii="Calibri" w:hAnsi="Calibri" w:eastAsia="Calibri" w:cs="Calibri"/>
                <w:lang w:val="pt-PT"/>
              </w:rPr>
            </w:pPr>
            <w:r>
              <w:rPr>
                <w:rFonts w:ascii="Calibri" w:hAnsi="Calibri" w:eastAsia="Calibri" w:cs="Calibri"/>
                <w:b/>
                <w:lang w:val="pt-PT"/>
              </w:rPr>
              <w:t>CAIXA</w:t>
            </w:r>
            <w:r>
              <w:rPr>
                <w:rFonts w:ascii="Calibri" w:hAnsi="Calibri" w:eastAsia="Calibri" w:cs="Calibri"/>
                <w:b/>
                <w:spacing w:val="80"/>
                <w:lang w:val="pt-PT"/>
              </w:rPr>
              <w:t xml:space="preserve"> </w:t>
            </w:r>
            <w:r>
              <w:rPr>
                <w:rFonts w:ascii="Calibri" w:hAnsi="Calibri" w:eastAsia="Calibri" w:cs="Calibri"/>
                <w:b/>
                <w:lang w:val="pt-PT"/>
              </w:rPr>
              <w:t>REVELADORA</w:t>
            </w:r>
            <w:r>
              <w:rPr>
                <w:rFonts w:ascii="Calibri" w:hAnsi="Calibri" w:eastAsia="Calibri" w:cs="Calibri"/>
                <w:b/>
                <w:spacing w:val="80"/>
                <w:lang w:val="pt-PT"/>
              </w:rPr>
              <w:t xml:space="preserve"> </w:t>
            </w:r>
            <w:r>
              <w:rPr>
                <w:rFonts w:ascii="Calibri" w:hAnsi="Calibri" w:eastAsia="Calibri" w:cs="Calibri"/>
                <w:b/>
                <w:lang w:val="pt-PT"/>
              </w:rPr>
              <w:t>RX</w:t>
            </w:r>
            <w:r>
              <w:rPr>
                <w:rFonts w:ascii="Calibri" w:hAnsi="Calibri" w:eastAsia="Calibri" w:cs="Calibri"/>
                <w:b/>
                <w:spacing w:val="80"/>
                <w:lang w:val="pt-PT"/>
              </w:rPr>
              <w:t xml:space="preserve"> </w:t>
            </w:r>
            <w:r>
              <w:rPr>
                <w:rFonts w:ascii="Calibri" w:hAnsi="Calibri" w:eastAsia="Calibri" w:cs="Calibri"/>
                <w:b/>
                <w:lang w:val="pt-PT"/>
              </w:rPr>
              <w:t>–</w:t>
            </w:r>
            <w:r>
              <w:rPr>
                <w:rFonts w:ascii="Calibri" w:hAnsi="Calibri" w:eastAsia="Calibri" w:cs="Calibri"/>
                <w:b/>
                <w:spacing w:val="80"/>
                <w:lang w:val="pt-PT"/>
              </w:rPr>
              <w:t xml:space="preserve"> </w:t>
            </w:r>
            <w:r>
              <w:rPr>
                <w:rFonts w:ascii="Calibri" w:hAnsi="Calibri" w:eastAsia="Calibri" w:cs="Calibri"/>
                <w:lang w:val="pt-PT"/>
              </w:rPr>
              <w:t>Câmara</w:t>
            </w:r>
            <w:r>
              <w:rPr>
                <w:rFonts w:ascii="Calibri" w:hAnsi="Calibri" w:eastAsia="Calibri" w:cs="Calibri"/>
                <w:spacing w:val="80"/>
                <w:lang w:val="pt-PT"/>
              </w:rPr>
              <w:t xml:space="preserve"> </w:t>
            </w:r>
            <w:r>
              <w:rPr>
                <w:rFonts w:ascii="Calibri" w:hAnsi="Calibri" w:eastAsia="Calibri" w:cs="Calibri"/>
                <w:lang w:val="pt-PT"/>
              </w:rPr>
              <w:t xml:space="preserve">escura </w:t>
            </w:r>
            <w:r>
              <w:rPr>
                <w:rFonts w:ascii="Calibri" w:hAnsi="Calibri" w:eastAsia="Calibri" w:cs="Calibri"/>
                <w:spacing w:val="-4"/>
                <w:lang w:val="pt-PT"/>
              </w:rPr>
              <w:t>com</w:t>
            </w:r>
            <w:r>
              <w:rPr>
                <w:rFonts w:ascii="Calibri" w:hAnsi="Calibri" w:eastAsia="Calibri" w:cs="Calibri"/>
                <w:lang w:val="pt-PT"/>
              </w:rPr>
              <w:t xml:space="preserve"> </w:t>
            </w:r>
            <w:r>
              <w:rPr>
                <w:rFonts w:ascii="Calibri" w:hAnsi="Calibri" w:eastAsia="Calibri" w:cs="Calibri"/>
                <w:spacing w:val="-2"/>
                <w:lang w:val="pt-PT"/>
              </w:rPr>
              <w:t>caixa</w:t>
            </w:r>
            <w:r>
              <w:rPr>
                <w:rFonts w:ascii="Calibri" w:hAnsi="Calibri" w:eastAsia="Calibri" w:cs="Calibri"/>
                <w:lang w:val="pt-PT"/>
              </w:rPr>
              <w:t xml:space="preserve"> </w:t>
            </w:r>
            <w:r>
              <w:rPr>
                <w:rFonts w:ascii="Calibri" w:hAnsi="Calibri" w:eastAsia="Calibri" w:cs="Calibri"/>
                <w:spacing w:val="-2"/>
                <w:lang w:val="pt-PT"/>
              </w:rPr>
              <w:t>moldada</w:t>
            </w:r>
            <w:r>
              <w:rPr>
                <w:rFonts w:ascii="Calibri" w:hAnsi="Calibri" w:eastAsia="Calibri" w:cs="Calibri"/>
                <w:lang w:val="pt-PT"/>
              </w:rPr>
              <w:t xml:space="preserve"> </w:t>
            </w:r>
            <w:r>
              <w:rPr>
                <w:rFonts w:ascii="Calibri" w:hAnsi="Calibri" w:eastAsia="Calibri" w:cs="Calibri"/>
                <w:spacing w:val="-6"/>
                <w:lang w:val="pt-PT"/>
              </w:rPr>
              <w:t xml:space="preserve">em </w:t>
            </w:r>
            <w:r>
              <w:rPr>
                <w:rFonts w:ascii="Calibri" w:hAnsi="Calibri" w:eastAsia="Calibri" w:cs="Calibri"/>
                <w:lang w:val="pt-PT"/>
              </w:rPr>
              <w:t>olipropileno de boa rigidez, resistentes a produtos químicos, ácidos,substâncias alcalinas</w:t>
            </w:r>
            <w:r>
              <w:rPr>
                <w:rFonts w:ascii="Calibri" w:hAnsi="Calibri" w:eastAsia="Calibri" w:cs="Calibri"/>
                <w:spacing w:val="40"/>
                <w:lang w:val="pt-PT"/>
              </w:rPr>
              <w:t xml:space="preserve"> </w:t>
            </w:r>
            <w:r>
              <w:rPr>
                <w:rFonts w:ascii="Calibri" w:hAnsi="Calibri" w:eastAsia="Calibri" w:cs="Calibri"/>
                <w:lang w:val="pt-PT"/>
              </w:rPr>
              <w:t>e detergentes. Base removível para a coleta de resíduos,</w:t>
            </w:r>
            <w:r>
              <w:rPr>
                <w:rFonts w:ascii="Calibri" w:hAnsi="Calibri" w:eastAsia="Calibri" w:cs="Calibri"/>
                <w:spacing w:val="-7"/>
                <w:lang w:val="pt-PT"/>
              </w:rPr>
              <w:t xml:space="preserve"> </w:t>
            </w:r>
            <w:r>
              <w:rPr>
                <w:rFonts w:ascii="Calibri" w:hAnsi="Calibri" w:eastAsia="Calibri" w:cs="Calibri"/>
                <w:lang w:val="pt-PT"/>
              </w:rPr>
              <w:t>limpeza</w:t>
            </w:r>
            <w:r>
              <w:rPr>
                <w:rFonts w:ascii="Calibri" w:hAnsi="Calibri" w:eastAsia="Calibri" w:cs="Calibri"/>
                <w:spacing w:val="-10"/>
                <w:lang w:val="pt-PT"/>
              </w:rPr>
              <w:t xml:space="preserve"> </w:t>
            </w:r>
            <w:r>
              <w:rPr>
                <w:rFonts w:ascii="Calibri" w:hAnsi="Calibri" w:eastAsia="Calibri" w:cs="Calibri"/>
                <w:lang w:val="pt-PT"/>
              </w:rPr>
              <w:t>e</w:t>
            </w:r>
            <w:r>
              <w:rPr>
                <w:rFonts w:ascii="Calibri" w:hAnsi="Calibri" w:eastAsia="Calibri" w:cs="Calibri"/>
                <w:spacing w:val="-7"/>
                <w:lang w:val="pt-PT"/>
              </w:rPr>
              <w:t xml:space="preserve"> </w:t>
            </w:r>
            <w:r>
              <w:rPr>
                <w:rFonts w:ascii="Calibri" w:hAnsi="Calibri" w:eastAsia="Calibri" w:cs="Calibri"/>
                <w:lang w:val="pt-PT"/>
              </w:rPr>
              <w:t>desinfecção.</w:t>
            </w:r>
            <w:r>
              <w:rPr>
                <w:rFonts w:ascii="Calibri" w:hAnsi="Calibri" w:eastAsia="Calibri" w:cs="Calibri"/>
                <w:spacing w:val="-7"/>
                <w:lang w:val="pt-PT"/>
              </w:rPr>
              <w:t xml:space="preserve"> </w:t>
            </w:r>
            <w:r>
              <w:rPr>
                <w:rFonts w:ascii="Calibri" w:hAnsi="Calibri" w:eastAsia="Calibri" w:cs="Calibri"/>
                <w:lang w:val="pt-PT"/>
              </w:rPr>
              <w:t>Alojamento</w:t>
            </w:r>
            <w:r>
              <w:rPr>
                <w:rFonts w:ascii="Calibri" w:hAnsi="Calibri" w:eastAsia="Calibri" w:cs="Calibri"/>
                <w:spacing w:val="-6"/>
                <w:lang w:val="pt-PT"/>
              </w:rPr>
              <w:t xml:space="preserve"> </w:t>
            </w:r>
            <w:r>
              <w:rPr>
                <w:rFonts w:ascii="Calibri" w:hAnsi="Calibri" w:eastAsia="Calibri" w:cs="Calibri"/>
                <w:lang w:val="pt-PT"/>
              </w:rPr>
              <w:t>para recipientes de líquidos. DE 23 X 34 X 23 cm aproximadamente. Com visor acrílico na tampa da</w:t>
            </w:r>
            <w:r>
              <w:rPr>
                <w:rFonts w:ascii="Calibri" w:hAnsi="Calibri" w:eastAsia="Calibri" w:cs="Calibri"/>
                <w:spacing w:val="-1"/>
                <w:lang w:val="pt-PT"/>
              </w:rPr>
              <w:t xml:space="preserve"> </w:t>
            </w:r>
            <w:r>
              <w:rPr>
                <w:rFonts w:ascii="Calibri" w:hAnsi="Calibri" w:eastAsia="Calibri" w:cs="Calibri"/>
                <w:spacing w:val="-2"/>
                <w:lang w:val="pt-PT"/>
              </w:rPr>
              <w:t>caixa.</w:t>
            </w:r>
          </w:p>
        </w:tc>
        <w:tc>
          <w:tcPr>
            <w:tcW w:w="550" w:type="pct"/>
            <w:vAlign w:val="center"/>
          </w:tcPr>
          <w:p>
            <w:pPr>
              <w:spacing w:after="0" w:line="240" w:lineRule="auto"/>
              <w:jc w:val="center"/>
              <w:rPr>
                <w:rFonts w:cstheme="minorHAnsi"/>
                <w:sz w:val="16"/>
                <w:szCs w:val="16"/>
              </w:rPr>
            </w:pPr>
          </w:p>
        </w:tc>
        <w:tc>
          <w:tcPr>
            <w:tcW w:w="390" w:type="pct"/>
            <w:vAlign w:val="center"/>
          </w:tcPr>
          <w:p>
            <w:pPr>
              <w:spacing w:after="0" w:line="240" w:lineRule="auto"/>
              <w:jc w:val="center"/>
              <w:rPr>
                <w:rFonts w:cstheme="minorHAnsi"/>
              </w:rPr>
            </w:pPr>
            <w:r>
              <w:rPr>
                <w:rFonts w:cstheme="minorHAnsi"/>
              </w:rPr>
              <w:t>UNID</w:t>
            </w:r>
          </w:p>
        </w:tc>
        <w:tc>
          <w:tcPr>
            <w:tcW w:w="494" w:type="pct"/>
            <w:vAlign w:val="center"/>
          </w:tcPr>
          <w:p>
            <w:pPr>
              <w:spacing w:after="0" w:line="240" w:lineRule="auto"/>
              <w:jc w:val="center"/>
              <w:rPr>
                <w:rFonts w:cstheme="minorHAnsi"/>
              </w:rPr>
            </w:pPr>
            <w:r>
              <w:rPr>
                <w:rFonts w:cstheme="minorHAnsi"/>
              </w:rPr>
              <w:t>3</w:t>
            </w:r>
          </w:p>
        </w:tc>
        <w:tc>
          <w:tcPr>
            <w:tcW w:w="543" w:type="pct"/>
            <w:vAlign w:val="center"/>
          </w:tcPr>
          <w:p>
            <w:pPr>
              <w:spacing w:after="0" w:line="240" w:lineRule="auto"/>
              <w:jc w:val="center"/>
              <w:rPr>
                <w:rFonts w:cstheme="minorHAnsi"/>
                <w:sz w:val="16"/>
                <w:szCs w:val="16"/>
              </w:rPr>
            </w:pPr>
          </w:p>
        </w:tc>
        <w:tc>
          <w:tcPr>
            <w:tcW w:w="480" w:type="pct"/>
            <w:vAlign w:val="center"/>
          </w:tcPr>
          <w:p>
            <w:pPr>
              <w:spacing w:after="0" w:line="240" w:lineRule="auto"/>
              <w:jc w:val="center"/>
              <w:rPr>
                <w:rFonts w:cstheme="minorHAnsi"/>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69" w:type="pct"/>
            <w:vAlign w:val="center"/>
          </w:tcPr>
          <w:p>
            <w:pPr>
              <w:spacing w:after="0" w:line="240" w:lineRule="auto"/>
              <w:jc w:val="center"/>
              <w:rPr>
                <w:b/>
                <w:bCs/>
                <w:sz w:val="20"/>
                <w:szCs w:val="20"/>
              </w:rPr>
            </w:pPr>
            <w:r>
              <w:rPr>
                <w:b/>
                <w:bCs/>
                <w:sz w:val="20"/>
                <w:szCs w:val="20"/>
              </w:rPr>
              <w:t>13</w:t>
            </w:r>
          </w:p>
        </w:tc>
        <w:tc>
          <w:tcPr>
            <w:tcW w:w="2172" w:type="pct"/>
            <w:vAlign w:val="center"/>
          </w:tcPr>
          <w:p>
            <w:pPr>
              <w:pStyle w:val="39"/>
              <w:spacing w:line="252" w:lineRule="auto"/>
              <w:jc w:val="both"/>
            </w:pPr>
            <w:r>
              <w:rPr>
                <w:b/>
              </w:rPr>
              <w:t>NEGATOSCÓPIO – Dimensão aproximada: 400x525x7mm</w:t>
            </w:r>
            <w:r>
              <w:rPr>
                <w:b/>
                <w:spacing w:val="-5"/>
              </w:rPr>
              <w:t xml:space="preserve"> </w:t>
            </w:r>
            <w:r>
              <w:rPr>
                <w:b/>
              </w:rPr>
              <w:t>-</w:t>
            </w:r>
            <w:r>
              <w:rPr>
                <w:b/>
                <w:spacing w:val="-5"/>
              </w:rPr>
              <w:t xml:space="preserve"> </w:t>
            </w:r>
            <w:r>
              <w:t>Sistema</w:t>
            </w:r>
            <w:r>
              <w:rPr>
                <w:spacing w:val="-8"/>
              </w:rPr>
              <w:t xml:space="preserve"> </w:t>
            </w:r>
            <w:r>
              <w:t>de</w:t>
            </w:r>
            <w:r>
              <w:rPr>
                <w:spacing w:val="-5"/>
              </w:rPr>
              <w:t xml:space="preserve"> </w:t>
            </w:r>
            <w:r>
              <w:t>iluminação</w:t>
            </w:r>
            <w:r>
              <w:rPr>
                <w:spacing w:val="-4"/>
              </w:rPr>
              <w:t xml:space="preserve"> </w:t>
            </w:r>
            <w:r>
              <w:t>por</w:t>
            </w:r>
            <w:r>
              <w:rPr>
                <w:spacing w:val="-7"/>
              </w:rPr>
              <w:t xml:space="preserve"> </w:t>
            </w:r>
            <w:r>
              <w:t xml:space="preserve">LED. Três posições de trabalho (parede, mesa ou </w:t>
            </w:r>
            <w:r>
              <w:rPr>
                <w:spacing w:val="-2"/>
              </w:rPr>
              <w:t xml:space="preserve">inclinado). </w:t>
            </w:r>
            <w:r>
              <w:t>Visor</w:t>
            </w:r>
            <w:r>
              <w:rPr>
                <w:spacing w:val="-3"/>
              </w:rPr>
              <w:t xml:space="preserve"> </w:t>
            </w:r>
            <w:r>
              <w:t>com</w:t>
            </w:r>
            <w:r>
              <w:rPr>
                <w:spacing w:val="-1"/>
              </w:rPr>
              <w:t xml:space="preserve"> </w:t>
            </w:r>
            <w:r>
              <w:t>a</w:t>
            </w:r>
            <w:r>
              <w:rPr>
                <w:spacing w:val="-4"/>
              </w:rPr>
              <w:t xml:space="preserve"> </w:t>
            </w:r>
            <w:r>
              <w:t>superfície</w:t>
            </w:r>
            <w:r>
              <w:rPr>
                <w:spacing w:val="-3"/>
              </w:rPr>
              <w:t xml:space="preserve"> </w:t>
            </w:r>
            <w:r>
              <w:t>plana.</w:t>
            </w:r>
            <w:r>
              <w:rPr>
                <w:spacing w:val="-2"/>
              </w:rPr>
              <w:t xml:space="preserve"> </w:t>
            </w:r>
            <w:r>
              <w:t>Bivolt</w:t>
            </w:r>
            <w:r>
              <w:rPr>
                <w:spacing w:val="-4"/>
              </w:rPr>
              <w:t xml:space="preserve"> </w:t>
            </w:r>
            <w:r>
              <w:t>ou</w:t>
            </w:r>
            <w:r>
              <w:rPr>
                <w:spacing w:val="-3"/>
              </w:rPr>
              <w:t xml:space="preserve"> </w:t>
            </w:r>
            <w:r>
              <w:t>220</w:t>
            </w:r>
            <w:r>
              <w:rPr>
                <w:spacing w:val="-4"/>
              </w:rPr>
              <w:t xml:space="preserve"> </w:t>
            </w:r>
            <w:r>
              <w:rPr>
                <w:spacing w:val="-5"/>
              </w:rPr>
              <w:t>v.</w:t>
            </w:r>
          </w:p>
        </w:tc>
        <w:tc>
          <w:tcPr>
            <w:tcW w:w="550" w:type="pct"/>
            <w:vAlign w:val="center"/>
          </w:tcPr>
          <w:p>
            <w:pPr>
              <w:spacing w:after="0" w:line="240" w:lineRule="auto"/>
              <w:jc w:val="center"/>
              <w:rPr>
                <w:rFonts w:cstheme="minorHAnsi"/>
                <w:sz w:val="16"/>
                <w:szCs w:val="16"/>
              </w:rPr>
            </w:pPr>
          </w:p>
        </w:tc>
        <w:tc>
          <w:tcPr>
            <w:tcW w:w="390" w:type="pct"/>
            <w:vAlign w:val="center"/>
          </w:tcPr>
          <w:p>
            <w:pPr>
              <w:spacing w:after="0" w:line="240" w:lineRule="auto"/>
              <w:jc w:val="center"/>
              <w:rPr>
                <w:rFonts w:cstheme="minorHAnsi"/>
              </w:rPr>
            </w:pPr>
            <w:r>
              <w:rPr>
                <w:rFonts w:cstheme="minorHAnsi"/>
              </w:rPr>
              <w:t>UNID</w:t>
            </w:r>
          </w:p>
        </w:tc>
        <w:tc>
          <w:tcPr>
            <w:tcW w:w="494" w:type="pct"/>
            <w:vAlign w:val="center"/>
          </w:tcPr>
          <w:p>
            <w:pPr>
              <w:spacing w:after="0" w:line="240" w:lineRule="auto"/>
              <w:jc w:val="center"/>
              <w:rPr>
                <w:rFonts w:cstheme="minorHAnsi"/>
              </w:rPr>
            </w:pPr>
            <w:r>
              <w:rPr>
                <w:rFonts w:cstheme="minorHAnsi"/>
              </w:rPr>
              <w:t>6</w:t>
            </w:r>
          </w:p>
        </w:tc>
        <w:tc>
          <w:tcPr>
            <w:tcW w:w="543" w:type="pct"/>
            <w:vAlign w:val="center"/>
          </w:tcPr>
          <w:p>
            <w:pPr>
              <w:spacing w:after="0" w:line="240" w:lineRule="auto"/>
              <w:jc w:val="center"/>
              <w:rPr>
                <w:rFonts w:cstheme="minorHAnsi"/>
                <w:sz w:val="16"/>
                <w:szCs w:val="16"/>
                <w:highlight w:val="yellow"/>
              </w:rPr>
            </w:pPr>
          </w:p>
        </w:tc>
        <w:tc>
          <w:tcPr>
            <w:tcW w:w="480" w:type="pct"/>
            <w:vAlign w:val="center"/>
          </w:tcPr>
          <w:p>
            <w:pPr>
              <w:spacing w:after="0" w:line="240" w:lineRule="auto"/>
              <w:jc w:val="center"/>
              <w:rPr>
                <w:rFonts w:cstheme="minorHAnsi"/>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69" w:type="pct"/>
            <w:vAlign w:val="center"/>
          </w:tcPr>
          <w:p>
            <w:pPr>
              <w:spacing w:after="0" w:line="240" w:lineRule="auto"/>
              <w:jc w:val="center"/>
              <w:rPr>
                <w:b/>
                <w:bCs/>
                <w:sz w:val="20"/>
                <w:szCs w:val="20"/>
              </w:rPr>
            </w:pPr>
            <w:r>
              <w:rPr>
                <w:b/>
                <w:bCs/>
                <w:sz w:val="20"/>
                <w:szCs w:val="20"/>
              </w:rPr>
              <w:t>14</w:t>
            </w:r>
          </w:p>
        </w:tc>
        <w:tc>
          <w:tcPr>
            <w:tcW w:w="2172" w:type="pct"/>
            <w:vAlign w:val="center"/>
          </w:tcPr>
          <w:p>
            <w:pPr>
              <w:pStyle w:val="39"/>
              <w:spacing w:line="268" w:lineRule="exact"/>
              <w:jc w:val="both"/>
              <w:rPr>
                <w:b/>
              </w:rPr>
            </w:pPr>
            <w:r>
              <w:rPr>
                <w:b/>
              </w:rPr>
              <w:t>APARELHO</w:t>
            </w:r>
            <w:r>
              <w:rPr>
                <w:b/>
                <w:spacing w:val="-7"/>
              </w:rPr>
              <w:t xml:space="preserve"> </w:t>
            </w:r>
            <w:r>
              <w:rPr>
                <w:b/>
              </w:rPr>
              <w:t>DE</w:t>
            </w:r>
            <w:r>
              <w:rPr>
                <w:b/>
                <w:spacing w:val="-5"/>
              </w:rPr>
              <w:t xml:space="preserve"> </w:t>
            </w:r>
            <w:r>
              <w:rPr>
                <w:b/>
              </w:rPr>
              <w:t>LASERTERAPIA</w:t>
            </w:r>
            <w:r>
              <w:rPr>
                <w:b/>
                <w:spacing w:val="-7"/>
              </w:rPr>
              <w:t xml:space="preserve"> </w:t>
            </w:r>
            <w:r>
              <w:rPr>
                <w:b/>
              </w:rPr>
              <w:t>PARA</w:t>
            </w:r>
            <w:r>
              <w:rPr>
                <w:b/>
                <w:spacing w:val="-4"/>
              </w:rPr>
              <w:t xml:space="preserve"> </w:t>
            </w:r>
            <w:r>
              <w:rPr>
                <w:b/>
                <w:spacing w:val="-5"/>
              </w:rPr>
              <w:t xml:space="preserve">USO </w:t>
            </w:r>
            <w:r>
              <w:rPr>
                <w:b/>
              </w:rPr>
              <w:t xml:space="preserve">ODONTOLÓGICO </w:t>
            </w:r>
            <w:r>
              <w:t>para uso em Estomatologia – Equipamento</w:t>
            </w:r>
            <w:r>
              <w:rPr>
                <w:spacing w:val="-8"/>
              </w:rPr>
              <w:t xml:space="preserve"> </w:t>
            </w:r>
            <w:r>
              <w:t>Laser</w:t>
            </w:r>
            <w:r>
              <w:rPr>
                <w:spacing w:val="-10"/>
              </w:rPr>
              <w:t xml:space="preserve"> </w:t>
            </w:r>
            <w:r>
              <w:t>terapêutico</w:t>
            </w:r>
            <w:r>
              <w:rPr>
                <w:spacing w:val="-10"/>
              </w:rPr>
              <w:t xml:space="preserve"> </w:t>
            </w:r>
            <w:r>
              <w:t>odontológico;</w:t>
            </w:r>
            <w:r>
              <w:rPr>
                <w:spacing w:val="-10"/>
              </w:rPr>
              <w:t xml:space="preserve"> </w:t>
            </w:r>
            <w:r>
              <w:t>De baixa intensidade com ponteira autoclavável; Emissão de infravermelho e vermelho; Emissor: laser semicondutor; Comprimento de onda aproximado 660 e 808 nanômetros para o vermelho e infravermelho respectivamente, admitindo-se uma variação de no máximo 10%; Potência dos geradores de laser de aproximadamente 100miliW, admitindo-se uma variação de</w:t>
            </w:r>
            <w:r>
              <w:rPr>
                <w:spacing w:val="-3"/>
              </w:rPr>
              <w:t xml:space="preserve"> </w:t>
            </w:r>
            <w:r>
              <w:t>no</w:t>
            </w:r>
            <w:r>
              <w:rPr>
                <w:spacing w:val="-3"/>
              </w:rPr>
              <w:t xml:space="preserve"> </w:t>
            </w:r>
            <w:r>
              <w:t>máximo</w:t>
            </w:r>
            <w:r>
              <w:rPr>
                <w:spacing w:val="-2"/>
              </w:rPr>
              <w:t xml:space="preserve"> </w:t>
            </w:r>
            <w:r>
              <w:t>20%; Área</w:t>
            </w:r>
            <w:r>
              <w:rPr>
                <w:spacing w:val="-1"/>
              </w:rPr>
              <w:t xml:space="preserve"> </w:t>
            </w:r>
            <w:r>
              <w:t>do</w:t>
            </w:r>
            <w:r>
              <w:rPr>
                <w:spacing w:val="-3"/>
              </w:rPr>
              <w:t xml:space="preserve"> </w:t>
            </w:r>
            <w:r>
              <w:t>feixe</w:t>
            </w:r>
            <w:r>
              <w:rPr>
                <w:spacing w:val="-1"/>
              </w:rPr>
              <w:t xml:space="preserve"> </w:t>
            </w:r>
            <w:r>
              <w:t>de</w:t>
            </w:r>
            <w:r>
              <w:rPr>
                <w:spacing w:val="-3"/>
              </w:rPr>
              <w:t xml:space="preserve"> </w:t>
            </w:r>
            <w:r>
              <w:t>luz na caneta laser: 3 mm² aproximadamente; PULSEIRA ILIB, com velcro e difusor para proteção da pele. Bateria com duração mínima de 4 horas em uso contínuo e tempo de recarga máximo</w:t>
            </w:r>
            <w:r>
              <w:rPr>
                <w:spacing w:val="-2"/>
              </w:rPr>
              <w:t xml:space="preserve"> </w:t>
            </w:r>
            <w:r>
              <w:t>em</w:t>
            </w:r>
            <w:r>
              <w:rPr>
                <w:spacing w:val="-2"/>
              </w:rPr>
              <w:t xml:space="preserve"> </w:t>
            </w:r>
            <w:r>
              <w:t>até</w:t>
            </w:r>
            <w:r>
              <w:rPr>
                <w:spacing w:val="-4"/>
              </w:rPr>
              <w:t xml:space="preserve"> </w:t>
            </w:r>
            <w:r>
              <w:t>2h;</w:t>
            </w:r>
            <w:r>
              <w:rPr>
                <w:spacing w:val="-5"/>
              </w:rPr>
              <w:t xml:space="preserve"> </w:t>
            </w:r>
            <w:r>
              <w:t>Tensão:</w:t>
            </w:r>
            <w:r>
              <w:rPr>
                <w:spacing w:val="-2"/>
              </w:rPr>
              <w:t xml:space="preserve"> </w:t>
            </w:r>
            <w:r>
              <w:t>220</w:t>
            </w:r>
            <w:r>
              <w:rPr>
                <w:spacing w:val="-5"/>
              </w:rPr>
              <w:t xml:space="preserve"> </w:t>
            </w:r>
            <w:r>
              <w:t>v</w:t>
            </w:r>
            <w:r>
              <w:rPr>
                <w:spacing w:val="-3"/>
              </w:rPr>
              <w:t xml:space="preserve"> </w:t>
            </w:r>
            <w:r>
              <w:t>ou</w:t>
            </w:r>
            <w:r>
              <w:rPr>
                <w:spacing w:val="-4"/>
              </w:rPr>
              <w:t xml:space="preserve"> </w:t>
            </w:r>
            <w:r>
              <w:t>bivolt.</w:t>
            </w:r>
            <w:r>
              <w:rPr>
                <w:spacing w:val="-2"/>
              </w:rPr>
              <w:t xml:space="preserve"> </w:t>
            </w:r>
            <w:r>
              <w:rPr>
                <w:spacing w:val="-4"/>
              </w:rPr>
              <w:t xml:space="preserve">Deve </w:t>
            </w:r>
            <w:r>
              <w:t>permitir o uso simultâneo do laser vermelho e infravermelho. ILIB com parâmetros préajustados. Peso máximo da peça de mão: aproximadamente 200 gramas; Fibra: diâmetro mínimo</w:t>
            </w:r>
            <w:r>
              <w:rPr>
                <w:spacing w:val="-6"/>
              </w:rPr>
              <w:t xml:space="preserve"> </w:t>
            </w:r>
            <w:r>
              <w:t>aproximado</w:t>
            </w:r>
            <w:r>
              <w:rPr>
                <w:spacing w:val="-9"/>
              </w:rPr>
              <w:t xml:space="preserve"> </w:t>
            </w:r>
            <w:r>
              <w:t>600um;</w:t>
            </w:r>
            <w:r>
              <w:rPr>
                <w:spacing w:val="-9"/>
              </w:rPr>
              <w:t xml:space="preserve"> </w:t>
            </w:r>
            <w:r>
              <w:t>Ponteira</w:t>
            </w:r>
            <w:r>
              <w:rPr>
                <w:spacing w:val="-10"/>
              </w:rPr>
              <w:t xml:space="preserve"> </w:t>
            </w:r>
            <w:r>
              <w:t>em</w:t>
            </w:r>
            <w:r>
              <w:rPr>
                <w:spacing w:val="-6"/>
              </w:rPr>
              <w:t xml:space="preserve"> </w:t>
            </w:r>
            <w:r>
              <w:t xml:space="preserve">ângulo 45 graus com sistema de ventilação para refrigeração do aparelho. Portátil com acessórios: Maleta de transporte, no mínimo 4 (quatro) óculos de proteção, fonte de alimentação, suporte para Peça de Mão, espaçador, mídia eletrônica com instruções de uso e parâmetros de aplicação. Com registro ANVISA. </w:t>
            </w:r>
          </w:p>
        </w:tc>
        <w:tc>
          <w:tcPr>
            <w:tcW w:w="550" w:type="pct"/>
            <w:vAlign w:val="center"/>
          </w:tcPr>
          <w:p>
            <w:pPr>
              <w:spacing w:after="0" w:line="240" w:lineRule="auto"/>
              <w:jc w:val="center"/>
              <w:rPr>
                <w:rFonts w:cstheme="minorHAnsi"/>
                <w:sz w:val="16"/>
                <w:szCs w:val="16"/>
              </w:rPr>
            </w:pPr>
          </w:p>
        </w:tc>
        <w:tc>
          <w:tcPr>
            <w:tcW w:w="390" w:type="pct"/>
            <w:vAlign w:val="center"/>
          </w:tcPr>
          <w:p>
            <w:pPr>
              <w:spacing w:after="0" w:line="240" w:lineRule="auto"/>
              <w:jc w:val="center"/>
              <w:rPr>
                <w:rFonts w:cstheme="minorHAnsi"/>
              </w:rPr>
            </w:pPr>
            <w:r>
              <w:rPr>
                <w:rFonts w:cstheme="minorHAnsi"/>
              </w:rPr>
              <w:t>UNID</w:t>
            </w:r>
          </w:p>
        </w:tc>
        <w:tc>
          <w:tcPr>
            <w:tcW w:w="494" w:type="pct"/>
            <w:vAlign w:val="center"/>
          </w:tcPr>
          <w:p>
            <w:pPr>
              <w:spacing w:after="0" w:line="240" w:lineRule="auto"/>
              <w:jc w:val="center"/>
              <w:rPr>
                <w:rFonts w:cstheme="minorHAnsi"/>
              </w:rPr>
            </w:pPr>
            <w:r>
              <w:rPr>
                <w:rFonts w:cstheme="minorHAnsi"/>
              </w:rPr>
              <w:t>1</w:t>
            </w:r>
          </w:p>
        </w:tc>
        <w:tc>
          <w:tcPr>
            <w:tcW w:w="543" w:type="pct"/>
            <w:vAlign w:val="center"/>
          </w:tcPr>
          <w:p>
            <w:pPr>
              <w:spacing w:after="0" w:line="240" w:lineRule="auto"/>
              <w:jc w:val="center"/>
              <w:rPr>
                <w:rFonts w:cstheme="minorHAnsi"/>
                <w:sz w:val="16"/>
                <w:szCs w:val="16"/>
                <w:highlight w:val="yellow"/>
              </w:rPr>
            </w:pPr>
          </w:p>
        </w:tc>
        <w:tc>
          <w:tcPr>
            <w:tcW w:w="480" w:type="pct"/>
            <w:vAlign w:val="center"/>
          </w:tcPr>
          <w:p>
            <w:pPr>
              <w:spacing w:after="0" w:line="240" w:lineRule="auto"/>
              <w:jc w:val="center"/>
              <w:rPr>
                <w:rFonts w:cstheme="minorHAnsi"/>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69" w:type="pct"/>
            <w:vAlign w:val="center"/>
          </w:tcPr>
          <w:p>
            <w:pPr>
              <w:spacing w:after="0" w:line="240" w:lineRule="auto"/>
              <w:jc w:val="center"/>
              <w:rPr>
                <w:b/>
                <w:bCs/>
                <w:sz w:val="20"/>
                <w:szCs w:val="20"/>
              </w:rPr>
            </w:pPr>
            <w:r>
              <w:rPr>
                <w:b/>
                <w:bCs/>
                <w:sz w:val="20"/>
                <w:szCs w:val="20"/>
              </w:rPr>
              <w:t>15</w:t>
            </w:r>
          </w:p>
        </w:tc>
        <w:tc>
          <w:tcPr>
            <w:tcW w:w="2172" w:type="pct"/>
            <w:vAlign w:val="center"/>
          </w:tcPr>
          <w:p>
            <w:pPr>
              <w:pStyle w:val="39"/>
              <w:spacing w:line="268" w:lineRule="exact"/>
              <w:jc w:val="both"/>
            </w:pPr>
            <w:r>
              <w:rPr>
                <w:b/>
              </w:rPr>
              <w:t>AVENTAL</w:t>
            </w:r>
            <w:r>
              <w:rPr>
                <w:b/>
                <w:spacing w:val="-8"/>
              </w:rPr>
              <w:t xml:space="preserve"> </w:t>
            </w:r>
            <w:r>
              <w:rPr>
                <w:b/>
              </w:rPr>
              <w:t>DE</w:t>
            </w:r>
            <w:r>
              <w:rPr>
                <w:b/>
                <w:spacing w:val="-5"/>
              </w:rPr>
              <w:t xml:space="preserve"> </w:t>
            </w:r>
            <w:r>
              <w:rPr>
                <w:b/>
              </w:rPr>
              <w:t>CHUMBO</w:t>
            </w:r>
            <w:r>
              <w:rPr>
                <w:b/>
                <w:spacing w:val="-3"/>
              </w:rPr>
              <w:t xml:space="preserve"> </w:t>
            </w:r>
            <w:r>
              <w:rPr>
                <w:b/>
              </w:rPr>
              <w:t>PLUMBÍFERA</w:t>
            </w:r>
            <w:r>
              <w:t>:</w:t>
            </w:r>
            <w:r>
              <w:rPr>
                <w:spacing w:val="-3"/>
              </w:rPr>
              <w:t xml:space="preserve"> </w:t>
            </w:r>
            <w:r>
              <w:t>Avental</w:t>
            </w:r>
            <w:r>
              <w:rPr>
                <w:spacing w:val="-3"/>
              </w:rPr>
              <w:t xml:space="preserve"> </w:t>
            </w:r>
            <w:r>
              <w:rPr>
                <w:spacing w:val="-5"/>
              </w:rPr>
              <w:t xml:space="preserve">de </w:t>
            </w:r>
            <w:r>
              <w:t>borracha</w:t>
            </w:r>
            <w:r>
              <w:rPr>
                <w:spacing w:val="-10"/>
              </w:rPr>
              <w:t xml:space="preserve"> </w:t>
            </w:r>
            <w:r>
              <w:t>plumbífera,</w:t>
            </w:r>
            <w:r>
              <w:rPr>
                <w:spacing w:val="-11"/>
              </w:rPr>
              <w:t xml:space="preserve"> </w:t>
            </w:r>
            <w:r>
              <w:t>tamanho</w:t>
            </w:r>
            <w:r>
              <w:rPr>
                <w:spacing w:val="-8"/>
              </w:rPr>
              <w:t xml:space="preserve"> </w:t>
            </w:r>
            <w:r>
              <w:t>infantil.</w:t>
            </w:r>
            <w:r>
              <w:rPr>
                <w:spacing w:val="-10"/>
              </w:rPr>
              <w:t xml:space="preserve"> </w:t>
            </w:r>
            <w:r>
              <w:t>Medida 600 X 450 X 0,5 mm aproximadamente.</w:t>
            </w:r>
          </w:p>
          <w:p>
            <w:pPr>
              <w:pStyle w:val="39"/>
              <w:spacing w:line="268" w:lineRule="exact"/>
              <w:jc w:val="both"/>
              <w:rPr>
                <w:bCs/>
              </w:rPr>
            </w:pPr>
            <w:r>
              <w:rPr>
                <w:rFonts w:ascii="Times New Roman" w:hAnsi="Times New Roman"/>
                <w:sz w:val="24"/>
              </w:rPr>
              <w:t xml:space="preserve">Com </w:t>
            </w:r>
            <w:r>
              <w:rPr>
                <w:rFonts w:ascii="Times New Roman"/>
                <w:sz w:val="24"/>
              </w:rPr>
              <w:t>registro</w:t>
            </w:r>
            <w:r>
              <w:rPr>
                <w:rFonts w:ascii="Times New Roman"/>
                <w:spacing w:val="-1"/>
                <w:sz w:val="24"/>
              </w:rPr>
              <w:t xml:space="preserve"> </w:t>
            </w:r>
            <w:r>
              <w:rPr>
                <w:rFonts w:ascii="Times New Roman"/>
                <w:spacing w:val="-2"/>
                <w:sz w:val="24"/>
              </w:rPr>
              <w:t>ANVISA.</w:t>
            </w:r>
          </w:p>
        </w:tc>
        <w:tc>
          <w:tcPr>
            <w:tcW w:w="550" w:type="pct"/>
            <w:vAlign w:val="center"/>
          </w:tcPr>
          <w:p>
            <w:pPr>
              <w:spacing w:after="0" w:line="240" w:lineRule="auto"/>
              <w:jc w:val="center"/>
              <w:rPr>
                <w:rFonts w:cstheme="minorHAnsi"/>
                <w:sz w:val="16"/>
                <w:szCs w:val="16"/>
              </w:rPr>
            </w:pPr>
          </w:p>
        </w:tc>
        <w:tc>
          <w:tcPr>
            <w:tcW w:w="390" w:type="pct"/>
            <w:vAlign w:val="center"/>
          </w:tcPr>
          <w:p>
            <w:pPr>
              <w:spacing w:after="0" w:line="240" w:lineRule="auto"/>
              <w:jc w:val="center"/>
              <w:rPr>
                <w:rFonts w:cstheme="minorHAnsi"/>
              </w:rPr>
            </w:pPr>
            <w:r>
              <w:rPr>
                <w:rFonts w:cstheme="minorHAnsi"/>
              </w:rPr>
              <w:t>UNID</w:t>
            </w:r>
          </w:p>
        </w:tc>
        <w:tc>
          <w:tcPr>
            <w:tcW w:w="494" w:type="pct"/>
            <w:vAlign w:val="center"/>
          </w:tcPr>
          <w:p>
            <w:pPr>
              <w:spacing w:after="0" w:line="240" w:lineRule="auto"/>
              <w:jc w:val="center"/>
              <w:rPr>
                <w:rFonts w:cstheme="minorHAnsi"/>
              </w:rPr>
            </w:pPr>
            <w:r>
              <w:rPr>
                <w:rFonts w:cstheme="minorHAnsi"/>
              </w:rPr>
              <w:t>2</w:t>
            </w:r>
          </w:p>
        </w:tc>
        <w:tc>
          <w:tcPr>
            <w:tcW w:w="543" w:type="pct"/>
            <w:vAlign w:val="center"/>
          </w:tcPr>
          <w:p>
            <w:pPr>
              <w:spacing w:after="0" w:line="240" w:lineRule="auto"/>
              <w:jc w:val="center"/>
              <w:rPr>
                <w:rFonts w:cstheme="minorHAnsi"/>
                <w:sz w:val="16"/>
                <w:szCs w:val="16"/>
                <w:highlight w:val="yellow"/>
              </w:rPr>
            </w:pPr>
          </w:p>
        </w:tc>
        <w:tc>
          <w:tcPr>
            <w:tcW w:w="480" w:type="pct"/>
            <w:vAlign w:val="center"/>
          </w:tcPr>
          <w:p>
            <w:pPr>
              <w:spacing w:after="0" w:line="240" w:lineRule="auto"/>
              <w:jc w:val="center"/>
              <w:rPr>
                <w:rFonts w:cstheme="minorHAnsi"/>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69" w:type="pct"/>
            <w:vAlign w:val="center"/>
          </w:tcPr>
          <w:p>
            <w:pPr>
              <w:spacing w:after="0" w:line="240" w:lineRule="auto"/>
              <w:jc w:val="center"/>
              <w:rPr>
                <w:b/>
                <w:bCs/>
                <w:sz w:val="20"/>
                <w:szCs w:val="20"/>
              </w:rPr>
            </w:pPr>
            <w:r>
              <w:rPr>
                <w:b/>
                <w:bCs/>
                <w:sz w:val="20"/>
                <w:szCs w:val="20"/>
              </w:rPr>
              <w:t>16</w:t>
            </w:r>
          </w:p>
        </w:tc>
        <w:tc>
          <w:tcPr>
            <w:tcW w:w="2172" w:type="pct"/>
          </w:tcPr>
          <w:p>
            <w:pPr>
              <w:pStyle w:val="39"/>
              <w:spacing w:line="268" w:lineRule="exact"/>
              <w:jc w:val="both"/>
              <w:rPr>
                <w:spacing w:val="-3"/>
              </w:rPr>
            </w:pPr>
            <w:r>
              <w:rPr>
                <w:b/>
              </w:rPr>
              <w:t>AVENTAL</w:t>
            </w:r>
            <w:r>
              <w:rPr>
                <w:b/>
                <w:spacing w:val="-8"/>
              </w:rPr>
              <w:t xml:space="preserve"> </w:t>
            </w:r>
            <w:r>
              <w:rPr>
                <w:b/>
              </w:rPr>
              <w:t>DE</w:t>
            </w:r>
            <w:r>
              <w:rPr>
                <w:b/>
                <w:spacing w:val="-5"/>
              </w:rPr>
              <w:t xml:space="preserve"> </w:t>
            </w:r>
            <w:r>
              <w:rPr>
                <w:b/>
              </w:rPr>
              <w:t>CHUMBO</w:t>
            </w:r>
            <w:r>
              <w:rPr>
                <w:b/>
                <w:spacing w:val="-3"/>
              </w:rPr>
              <w:t xml:space="preserve"> </w:t>
            </w:r>
            <w:r>
              <w:rPr>
                <w:b/>
              </w:rPr>
              <w:t>PLUMBÍFERA</w:t>
            </w:r>
            <w:r>
              <w:t>:</w:t>
            </w:r>
            <w:r>
              <w:rPr>
                <w:spacing w:val="-3"/>
              </w:rPr>
              <w:t xml:space="preserve"> </w:t>
            </w:r>
            <w:r>
              <w:t>Avental</w:t>
            </w:r>
            <w:r>
              <w:rPr>
                <w:spacing w:val="-3"/>
              </w:rPr>
              <w:t xml:space="preserve"> </w:t>
            </w:r>
            <w:r>
              <w:rPr>
                <w:spacing w:val="-5"/>
              </w:rPr>
              <w:t xml:space="preserve">de </w:t>
            </w:r>
            <w:r>
              <w:t>borracha</w:t>
            </w:r>
            <w:r>
              <w:rPr>
                <w:spacing w:val="-8"/>
              </w:rPr>
              <w:t xml:space="preserve"> </w:t>
            </w:r>
            <w:r>
              <w:t>plumbífera,</w:t>
            </w:r>
            <w:r>
              <w:rPr>
                <w:spacing w:val="-7"/>
              </w:rPr>
              <w:t xml:space="preserve"> </w:t>
            </w:r>
            <w:r>
              <w:t>tamanho</w:t>
            </w:r>
            <w:r>
              <w:rPr>
                <w:spacing w:val="-4"/>
              </w:rPr>
              <w:t xml:space="preserve"> </w:t>
            </w:r>
            <w:r>
              <w:t>adulto.</w:t>
            </w:r>
            <w:r>
              <w:rPr>
                <w:spacing w:val="-7"/>
              </w:rPr>
              <w:t xml:space="preserve"> </w:t>
            </w:r>
            <w:r>
              <w:rPr>
                <w:spacing w:val="-2"/>
              </w:rPr>
              <w:t>Medidas:</w:t>
            </w:r>
            <w:r>
              <w:t>1000</w:t>
            </w:r>
            <w:r>
              <w:rPr>
                <w:spacing w:val="-7"/>
              </w:rPr>
              <w:t xml:space="preserve"> </w:t>
            </w:r>
            <w:r>
              <w:t>X</w:t>
            </w:r>
            <w:r>
              <w:rPr>
                <w:spacing w:val="-7"/>
              </w:rPr>
              <w:t xml:space="preserve"> </w:t>
            </w:r>
            <w:r>
              <w:t>450</w:t>
            </w:r>
            <w:r>
              <w:rPr>
                <w:spacing w:val="-5"/>
              </w:rPr>
              <w:t xml:space="preserve"> </w:t>
            </w:r>
            <w:r>
              <w:t>X</w:t>
            </w:r>
            <w:r>
              <w:rPr>
                <w:spacing w:val="-7"/>
              </w:rPr>
              <w:t xml:space="preserve"> </w:t>
            </w:r>
            <w:r>
              <w:t>0,5</w:t>
            </w:r>
            <w:r>
              <w:rPr>
                <w:spacing w:val="-7"/>
              </w:rPr>
              <w:t xml:space="preserve"> </w:t>
            </w:r>
            <w:r>
              <w:t>mm</w:t>
            </w:r>
            <w:r>
              <w:rPr>
                <w:spacing w:val="-4"/>
              </w:rPr>
              <w:t xml:space="preserve"> </w:t>
            </w:r>
            <w:r>
              <w:t>aproximadamente.</w:t>
            </w:r>
            <w:r>
              <w:rPr>
                <w:spacing w:val="-3"/>
              </w:rPr>
              <w:t xml:space="preserve"> </w:t>
            </w:r>
          </w:p>
          <w:p>
            <w:pPr>
              <w:pStyle w:val="39"/>
              <w:spacing w:line="268" w:lineRule="exact"/>
              <w:jc w:val="both"/>
              <w:rPr>
                <w:b/>
              </w:rPr>
            </w:pPr>
            <w:r>
              <w:rPr>
                <w:rFonts w:ascii="Times New Roman"/>
                <w:sz w:val="24"/>
              </w:rPr>
              <w:t>Com registro ANVISA.</w:t>
            </w:r>
          </w:p>
        </w:tc>
        <w:tc>
          <w:tcPr>
            <w:tcW w:w="550" w:type="pct"/>
            <w:vAlign w:val="center"/>
          </w:tcPr>
          <w:p>
            <w:pPr>
              <w:spacing w:after="0" w:line="240" w:lineRule="auto"/>
              <w:jc w:val="center"/>
              <w:rPr>
                <w:rFonts w:cstheme="minorHAnsi"/>
                <w:sz w:val="16"/>
                <w:szCs w:val="16"/>
              </w:rPr>
            </w:pPr>
          </w:p>
        </w:tc>
        <w:tc>
          <w:tcPr>
            <w:tcW w:w="390" w:type="pct"/>
            <w:vAlign w:val="center"/>
          </w:tcPr>
          <w:p>
            <w:pPr>
              <w:spacing w:after="0" w:line="240" w:lineRule="auto"/>
              <w:jc w:val="center"/>
              <w:rPr>
                <w:rFonts w:cstheme="minorHAnsi"/>
              </w:rPr>
            </w:pPr>
            <w:r>
              <w:rPr>
                <w:rFonts w:cstheme="minorHAnsi"/>
              </w:rPr>
              <w:t>UNID</w:t>
            </w:r>
          </w:p>
        </w:tc>
        <w:tc>
          <w:tcPr>
            <w:tcW w:w="494" w:type="pct"/>
            <w:vAlign w:val="center"/>
          </w:tcPr>
          <w:p>
            <w:pPr>
              <w:spacing w:after="0" w:line="240" w:lineRule="auto"/>
              <w:jc w:val="center"/>
              <w:rPr>
                <w:rFonts w:cstheme="minorHAnsi"/>
              </w:rPr>
            </w:pPr>
            <w:r>
              <w:rPr>
                <w:rFonts w:cstheme="minorHAnsi"/>
              </w:rPr>
              <w:t>2</w:t>
            </w:r>
          </w:p>
        </w:tc>
        <w:tc>
          <w:tcPr>
            <w:tcW w:w="543" w:type="pct"/>
            <w:vAlign w:val="center"/>
          </w:tcPr>
          <w:p>
            <w:pPr>
              <w:spacing w:after="0" w:line="240" w:lineRule="auto"/>
              <w:jc w:val="center"/>
              <w:rPr>
                <w:rFonts w:cstheme="minorHAnsi"/>
                <w:sz w:val="16"/>
                <w:szCs w:val="16"/>
                <w:highlight w:val="yellow"/>
              </w:rPr>
            </w:pPr>
          </w:p>
        </w:tc>
        <w:tc>
          <w:tcPr>
            <w:tcW w:w="480" w:type="pct"/>
            <w:vAlign w:val="center"/>
          </w:tcPr>
          <w:p>
            <w:pPr>
              <w:spacing w:after="0" w:line="240" w:lineRule="auto"/>
              <w:jc w:val="center"/>
              <w:rPr>
                <w:rFonts w:cstheme="minorHAnsi"/>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69" w:type="pct"/>
            <w:vAlign w:val="center"/>
          </w:tcPr>
          <w:p>
            <w:pPr>
              <w:spacing w:after="0" w:line="240" w:lineRule="auto"/>
              <w:jc w:val="center"/>
              <w:rPr>
                <w:b/>
                <w:bCs/>
                <w:sz w:val="20"/>
                <w:szCs w:val="20"/>
              </w:rPr>
            </w:pPr>
            <w:r>
              <w:rPr>
                <w:b/>
                <w:bCs/>
                <w:sz w:val="20"/>
                <w:szCs w:val="20"/>
              </w:rPr>
              <w:t>17</w:t>
            </w:r>
          </w:p>
        </w:tc>
        <w:tc>
          <w:tcPr>
            <w:tcW w:w="2172" w:type="pct"/>
            <w:vAlign w:val="center"/>
          </w:tcPr>
          <w:p>
            <w:pPr>
              <w:pStyle w:val="39"/>
              <w:jc w:val="both"/>
              <w:rPr>
                <w:b/>
              </w:rPr>
            </w:pPr>
            <w:r>
              <w:rPr>
                <w:b/>
              </w:rPr>
              <w:t>PROTETOR</w:t>
            </w:r>
            <w:r>
              <w:rPr>
                <w:b/>
                <w:spacing w:val="-9"/>
              </w:rPr>
              <w:t xml:space="preserve"> </w:t>
            </w:r>
            <w:r>
              <w:rPr>
                <w:b/>
              </w:rPr>
              <w:t>DE</w:t>
            </w:r>
            <w:r>
              <w:rPr>
                <w:b/>
                <w:spacing w:val="-8"/>
              </w:rPr>
              <w:t xml:space="preserve"> </w:t>
            </w:r>
            <w:r>
              <w:rPr>
                <w:b/>
              </w:rPr>
              <w:t>TIREÓIDE:</w:t>
            </w:r>
            <w:r>
              <w:rPr>
                <w:b/>
                <w:spacing w:val="-5"/>
              </w:rPr>
              <w:t xml:space="preserve"> </w:t>
            </w:r>
            <w:r>
              <w:t>protetor</w:t>
            </w:r>
            <w:r>
              <w:rPr>
                <w:spacing w:val="-9"/>
              </w:rPr>
              <w:t xml:space="preserve"> </w:t>
            </w:r>
            <w:r>
              <w:t>de</w:t>
            </w:r>
            <w:r>
              <w:rPr>
                <w:spacing w:val="-6"/>
              </w:rPr>
              <w:t xml:space="preserve"> </w:t>
            </w:r>
            <w:r>
              <w:t xml:space="preserve">borracha plumbífera, tamanho infantil. </w:t>
            </w:r>
            <w:r>
              <w:rPr>
                <w:rFonts w:ascii="Times New Roman" w:hAnsi="Times New Roman"/>
                <w:sz w:val="24"/>
              </w:rPr>
              <w:t xml:space="preserve">Com registro </w:t>
            </w:r>
            <w:r>
              <w:rPr>
                <w:rFonts w:ascii="Times New Roman"/>
                <w:spacing w:val="-2"/>
                <w:sz w:val="24"/>
              </w:rPr>
              <w:t>ANVISA.</w:t>
            </w:r>
          </w:p>
        </w:tc>
        <w:tc>
          <w:tcPr>
            <w:tcW w:w="550" w:type="pct"/>
            <w:vAlign w:val="center"/>
          </w:tcPr>
          <w:p>
            <w:pPr>
              <w:spacing w:after="0" w:line="240" w:lineRule="auto"/>
              <w:jc w:val="center"/>
              <w:rPr>
                <w:rFonts w:cstheme="minorHAnsi"/>
                <w:sz w:val="16"/>
                <w:szCs w:val="16"/>
              </w:rPr>
            </w:pPr>
          </w:p>
        </w:tc>
        <w:tc>
          <w:tcPr>
            <w:tcW w:w="390" w:type="pct"/>
            <w:vAlign w:val="center"/>
          </w:tcPr>
          <w:p>
            <w:pPr>
              <w:spacing w:after="0" w:line="240" w:lineRule="auto"/>
              <w:jc w:val="center"/>
              <w:rPr>
                <w:rFonts w:cstheme="minorHAnsi"/>
              </w:rPr>
            </w:pPr>
            <w:r>
              <w:rPr>
                <w:rFonts w:cstheme="minorHAnsi"/>
              </w:rPr>
              <w:t>UNID</w:t>
            </w:r>
          </w:p>
        </w:tc>
        <w:tc>
          <w:tcPr>
            <w:tcW w:w="494" w:type="pct"/>
            <w:vAlign w:val="center"/>
          </w:tcPr>
          <w:p>
            <w:pPr>
              <w:spacing w:after="0" w:line="240" w:lineRule="auto"/>
              <w:jc w:val="center"/>
              <w:rPr>
                <w:rFonts w:cstheme="minorHAnsi"/>
              </w:rPr>
            </w:pPr>
            <w:r>
              <w:rPr>
                <w:rFonts w:cstheme="minorHAnsi"/>
              </w:rPr>
              <w:t>2</w:t>
            </w:r>
          </w:p>
        </w:tc>
        <w:tc>
          <w:tcPr>
            <w:tcW w:w="543" w:type="pct"/>
            <w:vAlign w:val="center"/>
          </w:tcPr>
          <w:p>
            <w:pPr>
              <w:spacing w:after="0" w:line="240" w:lineRule="auto"/>
              <w:jc w:val="center"/>
              <w:rPr>
                <w:rFonts w:cstheme="minorHAnsi"/>
                <w:sz w:val="16"/>
                <w:szCs w:val="16"/>
                <w:highlight w:val="yellow"/>
              </w:rPr>
            </w:pPr>
          </w:p>
        </w:tc>
        <w:tc>
          <w:tcPr>
            <w:tcW w:w="480" w:type="pct"/>
            <w:vAlign w:val="center"/>
          </w:tcPr>
          <w:p>
            <w:pPr>
              <w:spacing w:after="0" w:line="240" w:lineRule="auto"/>
              <w:jc w:val="center"/>
              <w:rPr>
                <w:rFonts w:cstheme="minorHAnsi"/>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69" w:type="pct"/>
            <w:vAlign w:val="center"/>
          </w:tcPr>
          <w:p>
            <w:pPr>
              <w:spacing w:after="0" w:line="240" w:lineRule="auto"/>
              <w:jc w:val="center"/>
              <w:rPr>
                <w:b/>
                <w:bCs/>
                <w:sz w:val="20"/>
                <w:szCs w:val="20"/>
              </w:rPr>
            </w:pPr>
            <w:r>
              <w:rPr>
                <w:b/>
                <w:bCs/>
                <w:sz w:val="20"/>
                <w:szCs w:val="20"/>
              </w:rPr>
              <w:t>18</w:t>
            </w:r>
          </w:p>
        </w:tc>
        <w:tc>
          <w:tcPr>
            <w:tcW w:w="2172" w:type="pct"/>
            <w:vAlign w:val="center"/>
          </w:tcPr>
          <w:p>
            <w:pPr>
              <w:pStyle w:val="39"/>
              <w:spacing w:line="268" w:lineRule="exact"/>
              <w:jc w:val="both"/>
              <w:rPr>
                <w:b/>
              </w:rPr>
            </w:pPr>
            <w:r>
              <w:rPr>
                <w:b/>
              </w:rPr>
              <w:t>PROTETOR</w:t>
            </w:r>
            <w:r>
              <w:rPr>
                <w:b/>
                <w:spacing w:val="-7"/>
              </w:rPr>
              <w:t xml:space="preserve"> </w:t>
            </w:r>
            <w:r>
              <w:rPr>
                <w:b/>
              </w:rPr>
              <w:t>DE</w:t>
            </w:r>
            <w:r>
              <w:rPr>
                <w:b/>
                <w:spacing w:val="-5"/>
              </w:rPr>
              <w:t xml:space="preserve"> </w:t>
            </w:r>
            <w:r>
              <w:rPr>
                <w:b/>
              </w:rPr>
              <w:t>TIREÓIDE:</w:t>
            </w:r>
            <w:r>
              <w:rPr>
                <w:b/>
                <w:spacing w:val="-2"/>
              </w:rPr>
              <w:t xml:space="preserve"> </w:t>
            </w:r>
            <w:r>
              <w:t>protetor</w:t>
            </w:r>
            <w:r>
              <w:rPr>
                <w:spacing w:val="-6"/>
              </w:rPr>
              <w:t xml:space="preserve"> </w:t>
            </w:r>
            <w:r>
              <w:t>de</w:t>
            </w:r>
            <w:r>
              <w:rPr>
                <w:spacing w:val="-3"/>
              </w:rPr>
              <w:t xml:space="preserve"> </w:t>
            </w:r>
            <w:r>
              <w:rPr>
                <w:spacing w:val="-2"/>
              </w:rPr>
              <w:t xml:space="preserve">borracha </w:t>
            </w:r>
            <w:r>
              <w:t>plumbífera,</w:t>
            </w:r>
            <w:r>
              <w:rPr>
                <w:spacing w:val="-9"/>
              </w:rPr>
              <w:t xml:space="preserve"> </w:t>
            </w:r>
            <w:r>
              <w:t>tamanho</w:t>
            </w:r>
            <w:r>
              <w:rPr>
                <w:spacing w:val="-8"/>
              </w:rPr>
              <w:t xml:space="preserve"> </w:t>
            </w:r>
            <w:r>
              <w:t>adulto.</w:t>
            </w:r>
            <w:r>
              <w:rPr>
                <w:spacing w:val="-8"/>
              </w:rPr>
              <w:t xml:space="preserve"> </w:t>
            </w:r>
            <w:r>
              <w:rPr>
                <w:rFonts w:ascii="Times New Roman" w:hAnsi="Times New Roman"/>
                <w:sz w:val="24"/>
              </w:rPr>
              <w:t>Com</w:t>
            </w:r>
            <w:r>
              <w:rPr>
                <w:rFonts w:ascii="Times New Roman" w:hAnsi="Times New Roman"/>
                <w:spacing w:val="-11"/>
                <w:sz w:val="24"/>
              </w:rPr>
              <w:t xml:space="preserve"> </w:t>
            </w:r>
            <w:r>
              <w:rPr>
                <w:rFonts w:ascii="Times New Roman" w:hAnsi="Times New Roman"/>
                <w:sz w:val="24"/>
              </w:rPr>
              <w:t xml:space="preserve">registro </w:t>
            </w:r>
            <w:r>
              <w:rPr>
                <w:rFonts w:ascii="Times New Roman" w:hAnsi="Times New Roman"/>
                <w:spacing w:val="-2"/>
                <w:sz w:val="24"/>
              </w:rPr>
              <w:t>ANVISA.</w:t>
            </w:r>
          </w:p>
        </w:tc>
        <w:tc>
          <w:tcPr>
            <w:tcW w:w="550" w:type="pct"/>
            <w:vAlign w:val="center"/>
          </w:tcPr>
          <w:p>
            <w:pPr>
              <w:spacing w:after="0" w:line="240" w:lineRule="auto"/>
              <w:jc w:val="center"/>
              <w:rPr>
                <w:rFonts w:cstheme="minorHAnsi"/>
                <w:sz w:val="16"/>
                <w:szCs w:val="16"/>
              </w:rPr>
            </w:pPr>
          </w:p>
        </w:tc>
        <w:tc>
          <w:tcPr>
            <w:tcW w:w="390" w:type="pct"/>
            <w:vAlign w:val="center"/>
          </w:tcPr>
          <w:p>
            <w:pPr>
              <w:spacing w:after="0" w:line="240" w:lineRule="auto"/>
              <w:jc w:val="center"/>
              <w:rPr>
                <w:rFonts w:cstheme="minorHAnsi"/>
              </w:rPr>
            </w:pPr>
            <w:r>
              <w:rPr>
                <w:rFonts w:cstheme="minorHAnsi"/>
              </w:rPr>
              <w:t>UNID</w:t>
            </w:r>
          </w:p>
        </w:tc>
        <w:tc>
          <w:tcPr>
            <w:tcW w:w="494" w:type="pct"/>
            <w:vAlign w:val="center"/>
          </w:tcPr>
          <w:p>
            <w:pPr>
              <w:spacing w:after="0" w:line="240" w:lineRule="auto"/>
              <w:jc w:val="center"/>
              <w:rPr>
                <w:rFonts w:cstheme="minorHAnsi"/>
              </w:rPr>
            </w:pPr>
            <w:r>
              <w:rPr>
                <w:rFonts w:cstheme="minorHAnsi"/>
              </w:rPr>
              <w:t>2</w:t>
            </w:r>
          </w:p>
        </w:tc>
        <w:tc>
          <w:tcPr>
            <w:tcW w:w="543" w:type="pct"/>
            <w:vAlign w:val="center"/>
          </w:tcPr>
          <w:p>
            <w:pPr>
              <w:spacing w:after="0" w:line="240" w:lineRule="auto"/>
              <w:jc w:val="center"/>
              <w:rPr>
                <w:rFonts w:cstheme="minorHAnsi"/>
                <w:sz w:val="16"/>
                <w:szCs w:val="16"/>
                <w:highlight w:val="yellow"/>
              </w:rPr>
            </w:pPr>
          </w:p>
        </w:tc>
        <w:tc>
          <w:tcPr>
            <w:tcW w:w="480" w:type="pct"/>
            <w:vAlign w:val="center"/>
          </w:tcPr>
          <w:p>
            <w:pPr>
              <w:spacing w:after="0" w:line="240" w:lineRule="auto"/>
              <w:jc w:val="center"/>
              <w:rPr>
                <w:rFonts w:cstheme="minorHAnsi"/>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69" w:type="pct"/>
            <w:vAlign w:val="center"/>
          </w:tcPr>
          <w:p>
            <w:pPr>
              <w:spacing w:after="0" w:line="240" w:lineRule="auto"/>
              <w:jc w:val="center"/>
              <w:rPr>
                <w:b/>
                <w:bCs/>
                <w:sz w:val="20"/>
                <w:szCs w:val="20"/>
              </w:rPr>
            </w:pPr>
            <w:r>
              <w:rPr>
                <w:b/>
                <w:bCs/>
                <w:sz w:val="20"/>
                <w:szCs w:val="20"/>
              </w:rPr>
              <w:t>19</w:t>
            </w:r>
          </w:p>
        </w:tc>
        <w:tc>
          <w:tcPr>
            <w:tcW w:w="2172" w:type="pct"/>
          </w:tcPr>
          <w:p>
            <w:pPr>
              <w:pStyle w:val="39"/>
              <w:ind w:right="102"/>
              <w:jc w:val="both"/>
              <w:rPr>
                <w:spacing w:val="-4"/>
              </w:rPr>
            </w:pPr>
            <w:r>
              <w:rPr>
                <w:b/>
              </w:rPr>
              <w:t>CONTRA-ÂNGULO</w:t>
            </w:r>
            <w:r>
              <w:t>:</w:t>
            </w:r>
            <w:r>
              <w:rPr>
                <w:spacing w:val="-3"/>
              </w:rPr>
              <w:t xml:space="preserve"> </w:t>
            </w:r>
            <w:r>
              <w:t>Instrumento</w:t>
            </w:r>
            <w:r>
              <w:rPr>
                <w:spacing w:val="-2"/>
              </w:rPr>
              <w:t xml:space="preserve"> </w:t>
            </w:r>
            <w:r>
              <w:t>de</w:t>
            </w:r>
            <w:r>
              <w:rPr>
                <w:spacing w:val="-3"/>
              </w:rPr>
              <w:t xml:space="preserve"> </w:t>
            </w:r>
            <w:r>
              <w:t>baixa</w:t>
            </w:r>
            <w:r>
              <w:rPr>
                <w:spacing w:val="-6"/>
              </w:rPr>
              <w:t xml:space="preserve"> </w:t>
            </w:r>
            <w:r>
              <w:t>rotação transmissão</w:t>
            </w:r>
            <w:r>
              <w:rPr>
                <w:spacing w:val="-8"/>
              </w:rPr>
              <w:t xml:space="preserve"> </w:t>
            </w:r>
            <w:r>
              <w:t>1:1,</w:t>
            </w:r>
            <w:r>
              <w:rPr>
                <w:spacing w:val="-6"/>
              </w:rPr>
              <w:t xml:space="preserve"> </w:t>
            </w:r>
            <w:r>
              <w:t>fabricado</w:t>
            </w:r>
            <w:r>
              <w:rPr>
                <w:spacing w:val="-7"/>
              </w:rPr>
              <w:t xml:space="preserve"> </w:t>
            </w:r>
            <w:r>
              <w:t>em</w:t>
            </w:r>
            <w:r>
              <w:rPr>
                <w:spacing w:val="-5"/>
              </w:rPr>
              <w:t xml:space="preserve"> </w:t>
            </w:r>
            <w:r>
              <w:t>latão,</w:t>
            </w:r>
            <w:r>
              <w:rPr>
                <w:spacing w:val="-6"/>
              </w:rPr>
              <w:t xml:space="preserve"> </w:t>
            </w:r>
            <w:r>
              <w:t>cromado,</w:t>
            </w:r>
            <w:r>
              <w:rPr>
                <w:spacing w:val="-8"/>
              </w:rPr>
              <w:t xml:space="preserve"> </w:t>
            </w:r>
            <w:r>
              <w:t>de fácil manuseio, autoclavável, sistema de pinça tipo</w:t>
            </w:r>
            <w:r>
              <w:rPr>
                <w:spacing w:val="-4"/>
              </w:rPr>
              <w:t xml:space="preserve"> </w:t>
            </w:r>
            <w:r>
              <w:t>trava</w:t>
            </w:r>
            <w:r>
              <w:rPr>
                <w:spacing w:val="-6"/>
              </w:rPr>
              <w:t xml:space="preserve"> </w:t>
            </w:r>
            <w:r>
              <w:t>constituído</w:t>
            </w:r>
            <w:r>
              <w:rPr>
                <w:spacing w:val="-6"/>
              </w:rPr>
              <w:t xml:space="preserve"> </w:t>
            </w:r>
            <w:r>
              <w:t>com</w:t>
            </w:r>
            <w:r>
              <w:rPr>
                <w:spacing w:val="-5"/>
              </w:rPr>
              <w:t xml:space="preserve"> </w:t>
            </w:r>
            <w:r>
              <w:t>componente</w:t>
            </w:r>
            <w:r>
              <w:rPr>
                <w:spacing w:val="-4"/>
              </w:rPr>
              <w:t xml:space="preserve"> </w:t>
            </w:r>
            <w:r>
              <w:t>de</w:t>
            </w:r>
            <w:r>
              <w:rPr>
                <w:spacing w:val="-6"/>
              </w:rPr>
              <w:t xml:space="preserve"> </w:t>
            </w:r>
            <w:r>
              <w:rPr>
                <w:spacing w:val="-4"/>
              </w:rPr>
              <w:t xml:space="preserve">alta precisão como rolamentos que evitem o sobreaquecimento do instrumento. Velocidade máxima que atinja 40.000 RPM com refrigeração externa. Padrão conexão ISO 3964. Encaixe no micromotor através de conexão INTRA. Com baixo nível de ruído. Corpo giratório que facilite o manuseio. Com registro ANVISA. </w:t>
            </w:r>
          </w:p>
        </w:tc>
        <w:tc>
          <w:tcPr>
            <w:tcW w:w="550" w:type="pct"/>
            <w:vAlign w:val="center"/>
          </w:tcPr>
          <w:p>
            <w:pPr>
              <w:spacing w:after="0" w:line="240" w:lineRule="auto"/>
              <w:jc w:val="center"/>
              <w:rPr>
                <w:rFonts w:cstheme="minorHAnsi"/>
                <w:sz w:val="16"/>
                <w:szCs w:val="16"/>
              </w:rPr>
            </w:pPr>
          </w:p>
        </w:tc>
        <w:tc>
          <w:tcPr>
            <w:tcW w:w="390" w:type="pct"/>
            <w:vAlign w:val="center"/>
          </w:tcPr>
          <w:p>
            <w:pPr>
              <w:spacing w:after="0" w:line="240" w:lineRule="auto"/>
              <w:jc w:val="center"/>
              <w:rPr>
                <w:rFonts w:cstheme="minorHAnsi"/>
              </w:rPr>
            </w:pPr>
            <w:r>
              <w:rPr>
                <w:rFonts w:cstheme="minorHAnsi"/>
              </w:rPr>
              <w:t>UNID</w:t>
            </w:r>
          </w:p>
        </w:tc>
        <w:tc>
          <w:tcPr>
            <w:tcW w:w="494" w:type="pct"/>
            <w:vAlign w:val="center"/>
          </w:tcPr>
          <w:p>
            <w:pPr>
              <w:spacing w:after="0" w:line="240" w:lineRule="auto"/>
              <w:jc w:val="center"/>
              <w:rPr>
                <w:rFonts w:cstheme="minorHAnsi"/>
              </w:rPr>
            </w:pPr>
            <w:r>
              <w:rPr>
                <w:rFonts w:cstheme="minorHAnsi"/>
              </w:rPr>
              <w:t>28</w:t>
            </w:r>
          </w:p>
        </w:tc>
        <w:tc>
          <w:tcPr>
            <w:tcW w:w="543" w:type="pct"/>
            <w:vAlign w:val="center"/>
          </w:tcPr>
          <w:p>
            <w:pPr>
              <w:spacing w:after="0" w:line="240" w:lineRule="auto"/>
              <w:jc w:val="center"/>
              <w:rPr>
                <w:rFonts w:cstheme="minorHAnsi"/>
                <w:sz w:val="16"/>
                <w:szCs w:val="16"/>
                <w:highlight w:val="yellow"/>
              </w:rPr>
            </w:pPr>
          </w:p>
        </w:tc>
        <w:tc>
          <w:tcPr>
            <w:tcW w:w="480" w:type="pct"/>
            <w:vAlign w:val="center"/>
          </w:tcPr>
          <w:p>
            <w:pPr>
              <w:spacing w:after="0" w:line="240" w:lineRule="auto"/>
              <w:jc w:val="center"/>
              <w:rPr>
                <w:rFonts w:cstheme="minorHAnsi"/>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69" w:type="pct"/>
            <w:vAlign w:val="center"/>
          </w:tcPr>
          <w:p>
            <w:pPr>
              <w:spacing w:after="0" w:line="240" w:lineRule="auto"/>
              <w:jc w:val="center"/>
              <w:rPr>
                <w:b/>
                <w:bCs/>
                <w:sz w:val="20"/>
                <w:szCs w:val="20"/>
              </w:rPr>
            </w:pPr>
            <w:r>
              <w:rPr>
                <w:b/>
                <w:bCs/>
                <w:sz w:val="20"/>
                <w:szCs w:val="20"/>
              </w:rPr>
              <w:t>20</w:t>
            </w:r>
          </w:p>
        </w:tc>
        <w:tc>
          <w:tcPr>
            <w:tcW w:w="2172" w:type="pct"/>
            <w:vAlign w:val="center"/>
          </w:tcPr>
          <w:p>
            <w:pPr>
              <w:pStyle w:val="39"/>
              <w:spacing w:line="249" w:lineRule="auto"/>
              <w:ind w:right="105"/>
              <w:jc w:val="both"/>
            </w:pPr>
            <w:r>
              <w:rPr>
                <w:b/>
              </w:rPr>
              <w:t>MICRO</w:t>
            </w:r>
            <w:r>
              <w:rPr>
                <w:b/>
                <w:spacing w:val="-1"/>
              </w:rPr>
              <w:t xml:space="preserve"> </w:t>
            </w:r>
            <w:r>
              <w:rPr>
                <w:b/>
              </w:rPr>
              <w:t>MOTOR</w:t>
            </w:r>
            <w:r>
              <w:t>: De acionamento pneumático de baixa</w:t>
            </w:r>
            <w:r>
              <w:rPr>
                <w:spacing w:val="-6"/>
              </w:rPr>
              <w:t xml:space="preserve"> </w:t>
            </w:r>
            <w:r>
              <w:t>rotação</w:t>
            </w:r>
            <w:r>
              <w:rPr>
                <w:spacing w:val="-5"/>
              </w:rPr>
              <w:t xml:space="preserve"> </w:t>
            </w:r>
            <w:r>
              <w:t>com</w:t>
            </w:r>
            <w:r>
              <w:rPr>
                <w:spacing w:val="-5"/>
              </w:rPr>
              <w:t xml:space="preserve"> </w:t>
            </w:r>
            <w:r>
              <w:t>o</w:t>
            </w:r>
            <w:r>
              <w:rPr>
                <w:spacing w:val="-7"/>
              </w:rPr>
              <w:t xml:space="preserve"> </w:t>
            </w:r>
            <w:r>
              <w:t>corpo</w:t>
            </w:r>
            <w:r>
              <w:rPr>
                <w:spacing w:val="-7"/>
              </w:rPr>
              <w:t xml:space="preserve"> </w:t>
            </w:r>
            <w:r>
              <w:t>fabricado</w:t>
            </w:r>
            <w:r>
              <w:rPr>
                <w:spacing w:val="-5"/>
              </w:rPr>
              <w:t xml:space="preserve"> </w:t>
            </w:r>
            <w:r>
              <w:t>de</w:t>
            </w:r>
            <w:r>
              <w:rPr>
                <w:spacing w:val="-7"/>
              </w:rPr>
              <w:t xml:space="preserve"> </w:t>
            </w:r>
            <w:r>
              <w:t>alumínio, cromado</w:t>
            </w:r>
            <w:r>
              <w:rPr>
                <w:spacing w:val="-1"/>
              </w:rPr>
              <w:t xml:space="preserve"> </w:t>
            </w:r>
            <w:r>
              <w:t>e ponteira</w:t>
            </w:r>
            <w:r>
              <w:rPr>
                <w:spacing w:val="-3"/>
              </w:rPr>
              <w:t xml:space="preserve"> </w:t>
            </w:r>
            <w:r>
              <w:t>em aço inox. Turbina interna confeccionada em aço inoxidável. Com luva de reversão de giro. Equipamento com</w:t>
            </w:r>
            <w:r>
              <w:rPr>
                <w:spacing w:val="40"/>
              </w:rPr>
              <w:t xml:space="preserve"> </w:t>
            </w:r>
            <w:r>
              <w:t>componentes de alta precisão como rolamentos que evitam o aquecimento e evitam vibrações.</w:t>
            </w:r>
          </w:p>
          <w:p>
            <w:pPr>
              <w:pStyle w:val="39"/>
              <w:spacing w:line="249" w:lineRule="auto"/>
              <w:ind w:right="162"/>
              <w:jc w:val="both"/>
            </w:pPr>
          </w:p>
          <w:p>
            <w:pPr>
              <w:pStyle w:val="39"/>
              <w:spacing w:line="249" w:lineRule="auto"/>
              <w:ind w:right="162"/>
              <w:jc w:val="both"/>
              <w:rPr>
                <w:rFonts w:ascii="Times New Roman" w:hAnsi="Times New Roman"/>
                <w:sz w:val="24"/>
              </w:rPr>
            </w:pPr>
            <w:r>
              <w:t>Padrão</w:t>
            </w:r>
            <w:r>
              <w:rPr>
                <w:spacing w:val="-8"/>
              </w:rPr>
              <w:t xml:space="preserve"> </w:t>
            </w:r>
            <w:r>
              <w:t>conexão</w:t>
            </w:r>
            <w:r>
              <w:rPr>
                <w:spacing w:val="-6"/>
              </w:rPr>
              <w:t xml:space="preserve"> </w:t>
            </w:r>
            <w:r>
              <w:t>ISO</w:t>
            </w:r>
            <w:r>
              <w:rPr>
                <w:spacing w:val="-9"/>
              </w:rPr>
              <w:t xml:space="preserve"> </w:t>
            </w:r>
            <w:r>
              <w:t>3964.</w:t>
            </w:r>
            <w:r>
              <w:rPr>
                <w:spacing w:val="-8"/>
              </w:rPr>
              <w:t xml:space="preserve"> </w:t>
            </w:r>
            <w:r>
              <w:rPr>
                <w:rFonts w:ascii="Times New Roman" w:hAnsi="Times New Roman"/>
                <w:sz w:val="24"/>
              </w:rPr>
              <w:t>Velocidade</w:t>
            </w:r>
            <w:r>
              <w:rPr>
                <w:rFonts w:ascii="Times New Roman" w:hAnsi="Times New Roman"/>
                <w:spacing w:val="-9"/>
                <w:sz w:val="24"/>
              </w:rPr>
              <w:t xml:space="preserve"> </w:t>
            </w:r>
            <w:r>
              <w:rPr>
                <w:rFonts w:ascii="Times New Roman" w:hAnsi="Times New Roman"/>
                <w:sz w:val="24"/>
              </w:rPr>
              <w:t>máxima que atinja entre 20.000 a 25.000 rpm; conexão universal tipo borden e sistema INTRA. Com registro ANVISA.</w:t>
            </w:r>
          </w:p>
        </w:tc>
        <w:tc>
          <w:tcPr>
            <w:tcW w:w="550" w:type="pct"/>
            <w:vAlign w:val="center"/>
          </w:tcPr>
          <w:p>
            <w:pPr>
              <w:spacing w:after="0" w:line="240" w:lineRule="auto"/>
              <w:jc w:val="center"/>
              <w:rPr>
                <w:rFonts w:cstheme="minorHAnsi"/>
                <w:sz w:val="16"/>
                <w:szCs w:val="16"/>
              </w:rPr>
            </w:pPr>
          </w:p>
        </w:tc>
        <w:tc>
          <w:tcPr>
            <w:tcW w:w="390" w:type="pct"/>
            <w:vAlign w:val="center"/>
          </w:tcPr>
          <w:p>
            <w:pPr>
              <w:spacing w:after="0" w:line="240" w:lineRule="auto"/>
              <w:jc w:val="center"/>
              <w:rPr>
                <w:rFonts w:cstheme="minorHAnsi"/>
              </w:rPr>
            </w:pPr>
            <w:r>
              <w:rPr>
                <w:rFonts w:cstheme="minorHAnsi"/>
              </w:rPr>
              <w:t>UNID</w:t>
            </w:r>
          </w:p>
        </w:tc>
        <w:tc>
          <w:tcPr>
            <w:tcW w:w="494" w:type="pct"/>
            <w:vAlign w:val="center"/>
          </w:tcPr>
          <w:p>
            <w:pPr>
              <w:spacing w:after="0" w:line="240" w:lineRule="auto"/>
              <w:jc w:val="center"/>
              <w:rPr>
                <w:rFonts w:cstheme="minorHAnsi"/>
              </w:rPr>
            </w:pPr>
            <w:r>
              <w:rPr>
                <w:rFonts w:cstheme="minorHAnsi"/>
              </w:rPr>
              <w:t>28</w:t>
            </w:r>
          </w:p>
        </w:tc>
        <w:tc>
          <w:tcPr>
            <w:tcW w:w="543" w:type="pct"/>
            <w:vAlign w:val="center"/>
          </w:tcPr>
          <w:p>
            <w:pPr>
              <w:spacing w:after="0" w:line="240" w:lineRule="auto"/>
              <w:jc w:val="center"/>
              <w:rPr>
                <w:rFonts w:cstheme="minorHAnsi"/>
                <w:sz w:val="16"/>
                <w:szCs w:val="16"/>
                <w:highlight w:val="yellow"/>
              </w:rPr>
            </w:pPr>
          </w:p>
        </w:tc>
        <w:tc>
          <w:tcPr>
            <w:tcW w:w="480" w:type="pct"/>
            <w:vAlign w:val="center"/>
          </w:tcPr>
          <w:p>
            <w:pPr>
              <w:spacing w:after="0" w:line="240" w:lineRule="auto"/>
              <w:jc w:val="center"/>
              <w:rPr>
                <w:rFonts w:cstheme="minorHAnsi"/>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69" w:type="pct"/>
            <w:vAlign w:val="center"/>
          </w:tcPr>
          <w:p>
            <w:pPr>
              <w:spacing w:after="0" w:line="240" w:lineRule="auto"/>
              <w:jc w:val="center"/>
              <w:rPr>
                <w:b/>
                <w:bCs/>
                <w:sz w:val="20"/>
                <w:szCs w:val="20"/>
              </w:rPr>
            </w:pPr>
            <w:r>
              <w:rPr>
                <w:b/>
                <w:bCs/>
                <w:sz w:val="20"/>
                <w:szCs w:val="20"/>
              </w:rPr>
              <w:t>21</w:t>
            </w:r>
          </w:p>
        </w:tc>
        <w:tc>
          <w:tcPr>
            <w:tcW w:w="2172" w:type="pct"/>
            <w:vAlign w:val="center"/>
          </w:tcPr>
          <w:p>
            <w:pPr>
              <w:pStyle w:val="39"/>
              <w:spacing w:line="262" w:lineRule="exact"/>
              <w:jc w:val="both"/>
              <w:rPr>
                <w:b/>
              </w:rPr>
            </w:pPr>
            <w:r>
              <w:rPr>
                <w:b/>
              </w:rPr>
              <w:t>LOCALIZADOR</w:t>
            </w:r>
            <w:r>
              <w:rPr>
                <w:b/>
                <w:spacing w:val="-8"/>
              </w:rPr>
              <w:t xml:space="preserve"> </w:t>
            </w:r>
            <w:r>
              <w:rPr>
                <w:b/>
              </w:rPr>
              <w:t>APICAL</w:t>
            </w:r>
            <w:r>
              <w:rPr>
                <w:b/>
                <w:spacing w:val="-6"/>
              </w:rPr>
              <w:t xml:space="preserve"> </w:t>
            </w:r>
            <w:r>
              <w:rPr>
                <w:b/>
              </w:rPr>
              <w:t>ENDODÔNTICO</w:t>
            </w:r>
            <w:r>
              <w:t>:</w:t>
            </w:r>
            <w:r>
              <w:rPr>
                <w:spacing w:val="-8"/>
              </w:rPr>
              <w:t xml:space="preserve"> </w:t>
            </w:r>
            <w:r>
              <w:t>De</w:t>
            </w:r>
            <w:r>
              <w:rPr>
                <w:spacing w:val="-7"/>
              </w:rPr>
              <w:t xml:space="preserve"> </w:t>
            </w:r>
            <w:r>
              <w:rPr>
                <w:spacing w:val="-4"/>
              </w:rPr>
              <w:t xml:space="preserve">alto </w:t>
            </w:r>
            <w:r>
              <w:t>índice de precisão</w:t>
            </w:r>
            <w:r>
              <w:rPr>
                <w:spacing w:val="-2"/>
              </w:rPr>
              <w:t xml:space="preserve"> </w:t>
            </w:r>
            <w:r>
              <w:t>(de preferência</w:t>
            </w:r>
            <w:r>
              <w:rPr>
                <w:spacing w:val="-3"/>
              </w:rPr>
              <w:t xml:space="preserve"> </w:t>
            </w:r>
            <w:r>
              <w:t>os de quarta</w:t>
            </w:r>
            <w:r>
              <w:rPr>
                <w:spacing w:val="-2"/>
              </w:rPr>
              <w:t xml:space="preserve"> </w:t>
            </w:r>
            <w:r>
              <w:t>e quinta geração), com display (LCD ou similar) digital, com visor colorido indicando a posição das</w:t>
            </w:r>
            <w:r>
              <w:rPr>
                <w:spacing w:val="-7"/>
              </w:rPr>
              <w:t xml:space="preserve"> </w:t>
            </w:r>
            <w:r>
              <w:t>limas,</w:t>
            </w:r>
            <w:r>
              <w:rPr>
                <w:spacing w:val="-9"/>
              </w:rPr>
              <w:t xml:space="preserve"> </w:t>
            </w:r>
            <w:r>
              <w:t>calibração</w:t>
            </w:r>
            <w:r>
              <w:rPr>
                <w:spacing w:val="-8"/>
              </w:rPr>
              <w:t xml:space="preserve"> </w:t>
            </w:r>
            <w:r>
              <w:t>e</w:t>
            </w:r>
            <w:r>
              <w:rPr>
                <w:spacing w:val="-7"/>
              </w:rPr>
              <w:t xml:space="preserve"> </w:t>
            </w:r>
            <w:r>
              <w:t>desligamento</w:t>
            </w:r>
            <w:r>
              <w:rPr>
                <w:spacing w:val="-6"/>
              </w:rPr>
              <w:t xml:space="preserve"> </w:t>
            </w:r>
            <w:r>
              <w:t>automático, controle de som progressivo (emissão de bipes que mudam de frequência à medida que a lima se aproxime do ápice), acessórios (cabos, clipes,presilhas</w:t>
            </w:r>
            <w:r>
              <w:rPr>
                <w:spacing w:val="-4"/>
              </w:rPr>
              <w:t xml:space="preserve"> </w:t>
            </w:r>
            <w:r>
              <w:t>autoclaváveis),</w:t>
            </w:r>
            <w:r>
              <w:rPr>
                <w:spacing w:val="-4"/>
              </w:rPr>
              <w:t xml:space="preserve"> </w:t>
            </w:r>
            <w:r>
              <w:t>Bivolt</w:t>
            </w:r>
            <w:r>
              <w:rPr>
                <w:spacing w:val="-4"/>
              </w:rPr>
              <w:t xml:space="preserve"> </w:t>
            </w:r>
            <w:r>
              <w:t>ou</w:t>
            </w:r>
            <w:r>
              <w:rPr>
                <w:spacing w:val="-8"/>
              </w:rPr>
              <w:t xml:space="preserve"> </w:t>
            </w:r>
            <w:r>
              <w:t>220</w:t>
            </w:r>
            <w:r>
              <w:rPr>
                <w:spacing w:val="-4"/>
              </w:rPr>
              <w:t xml:space="preserve"> </w:t>
            </w:r>
            <w:r>
              <w:t>V.</w:t>
            </w:r>
            <w:r>
              <w:rPr>
                <w:spacing w:val="-3"/>
              </w:rPr>
              <w:t xml:space="preserve"> </w:t>
            </w:r>
            <w:r>
              <w:rPr>
                <w:rFonts w:ascii="Times New Roman" w:hAnsi="Times New Roman"/>
                <w:spacing w:val="-5"/>
                <w:szCs w:val="20"/>
              </w:rPr>
              <w:t xml:space="preserve">Com </w:t>
            </w:r>
            <w:r>
              <w:rPr>
                <w:rFonts w:ascii="Times New Roman" w:hAnsi="Times New Roman"/>
                <w:szCs w:val="20"/>
              </w:rPr>
              <w:t>registro</w:t>
            </w:r>
            <w:r>
              <w:rPr>
                <w:rFonts w:ascii="Times New Roman" w:hAnsi="Times New Roman"/>
                <w:spacing w:val="-10"/>
                <w:szCs w:val="20"/>
              </w:rPr>
              <w:t xml:space="preserve"> </w:t>
            </w:r>
            <w:r>
              <w:rPr>
                <w:rFonts w:ascii="Times New Roman" w:hAnsi="Times New Roman"/>
                <w:szCs w:val="20"/>
              </w:rPr>
              <w:t>ANVISA</w:t>
            </w:r>
          </w:p>
        </w:tc>
        <w:tc>
          <w:tcPr>
            <w:tcW w:w="550" w:type="pct"/>
            <w:vAlign w:val="center"/>
          </w:tcPr>
          <w:p>
            <w:pPr>
              <w:spacing w:after="0" w:line="240" w:lineRule="auto"/>
              <w:jc w:val="center"/>
              <w:rPr>
                <w:rFonts w:cstheme="minorHAnsi"/>
                <w:sz w:val="16"/>
                <w:szCs w:val="16"/>
              </w:rPr>
            </w:pPr>
          </w:p>
        </w:tc>
        <w:tc>
          <w:tcPr>
            <w:tcW w:w="390" w:type="pct"/>
            <w:vAlign w:val="center"/>
          </w:tcPr>
          <w:p>
            <w:pPr>
              <w:spacing w:after="0" w:line="240" w:lineRule="auto"/>
              <w:jc w:val="center"/>
              <w:rPr>
                <w:rFonts w:cstheme="minorHAnsi"/>
              </w:rPr>
            </w:pPr>
            <w:r>
              <w:rPr>
                <w:rFonts w:cstheme="minorHAnsi"/>
              </w:rPr>
              <w:t>UNID</w:t>
            </w:r>
          </w:p>
        </w:tc>
        <w:tc>
          <w:tcPr>
            <w:tcW w:w="494" w:type="pct"/>
            <w:vAlign w:val="center"/>
          </w:tcPr>
          <w:p>
            <w:pPr>
              <w:spacing w:after="0" w:line="240" w:lineRule="auto"/>
              <w:jc w:val="center"/>
              <w:rPr>
                <w:rFonts w:cstheme="minorHAnsi"/>
              </w:rPr>
            </w:pPr>
            <w:r>
              <w:rPr>
                <w:rFonts w:cstheme="minorHAnsi"/>
              </w:rPr>
              <w:t>1</w:t>
            </w:r>
          </w:p>
        </w:tc>
        <w:tc>
          <w:tcPr>
            <w:tcW w:w="543" w:type="pct"/>
            <w:vAlign w:val="center"/>
          </w:tcPr>
          <w:p>
            <w:pPr>
              <w:spacing w:after="0" w:line="240" w:lineRule="auto"/>
              <w:jc w:val="center"/>
              <w:rPr>
                <w:rFonts w:cstheme="minorHAnsi"/>
                <w:sz w:val="16"/>
                <w:szCs w:val="16"/>
                <w:highlight w:val="yellow"/>
              </w:rPr>
            </w:pPr>
          </w:p>
        </w:tc>
        <w:tc>
          <w:tcPr>
            <w:tcW w:w="480" w:type="pct"/>
            <w:vAlign w:val="center"/>
          </w:tcPr>
          <w:p>
            <w:pPr>
              <w:spacing w:after="0" w:line="240" w:lineRule="auto"/>
              <w:jc w:val="center"/>
              <w:rPr>
                <w:rFonts w:cstheme="minorHAns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69" w:type="pct"/>
            <w:vAlign w:val="center"/>
          </w:tcPr>
          <w:p>
            <w:pPr>
              <w:spacing w:after="0" w:line="240" w:lineRule="auto"/>
              <w:jc w:val="center"/>
              <w:rPr>
                <w:b/>
                <w:bCs/>
                <w:sz w:val="20"/>
                <w:szCs w:val="20"/>
              </w:rPr>
            </w:pPr>
            <w:r>
              <w:rPr>
                <w:b/>
                <w:bCs/>
                <w:sz w:val="20"/>
                <w:szCs w:val="20"/>
              </w:rPr>
              <w:t>22</w:t>
            </w:r>
          </w:p>
        </w:tc>
        <w:tc>
          <w:tcPr>
            <w:tcW w:w="2172" w:type="pct"/>
            <w:vAlign w:val="center"/>
          </w:tcPr>
          <w:p>
            <w:pPr>
              <w:pStyle w:val="39"/>
              <w:ind w:right="162"/>
              <w:jc w:val="both"/>
              <w:rPr>
                <w:b/>
              </w:rPr>
            </w:pPr>
            <w:r>
              <w:rPr>
                <w:b/>
              </w:rPr>
              <w:t xml:space="preserve">CUBA ULTRASSÔNICA - </w:t>
            </w:r>
            <w:r>
              <w:t xml:space="preserve">Para processamento de instrumental, aproximadamente 3 Litros, Frequência de ultrassom: entre 35000 Hz e 42000 Hz. Com temporizador. Com função de aquecimento. Marcas de referência: Gnatus, Schuster ou similar. </w:t>
            </w:r>
            <w:r>
              <w:rPr>
                <w:rFonts w:ascii="Times New Roman" w:hAnsi="Times New Roman"/>
                <w:sz w:val="24"/>
              </w:rPr>
              <w:t xml:space="preserve">Com registro ANVISA. </w:t>
            </w:r>
          </w:p>
        </w:tc>
        <w:tc>
          <w:tcPr>
            <w:tcW w:w="550" w:type="pct"/>
            <w:vAlign w:val="center"/>
          </w:tcPr>
          <w:p>
            <w:pPr>
              <w:spacing w:after="0" w:line="240" w:lineRule="auto"/>
              <w:jc w:val="center"/>
              <w:rPr>
                <w:rFonts w:cstheme="minorHAnsi"/>
                <w:sz w:val="16"/>
                <w:szCs w:val="16"/>
              </w:rPr>
            </w:pPr>
          </w:p>
        </w:tc>
        <w:tc>
          <w:tcPr>
            <w:tcW w:w="390" w:type="pct"/>
            <w:vAlign w:val="center"/>
          </w:tcPr>
          <w:p>
            <w:pPr>
              <w:spacing w:after="0" w:line="240" w:lineRule="auto"/>
              <w:jc w:val="center"/>
              <w:rPr>
                <w:rFonts w:cstheme="minorHAnsi"/>
              </w:rPr>
            </w:pPr>
            <w:r>
              <w:rPr>
                <w:rFonts w:cstheme="minorHAnsi"/>
              </w:rPr>
              <w:t>UNID</w:t>
            </w:r>
          </w:p>
        </w:tc>
        <w:tc>
          <w:tcPr>
            <w:tcW w:w="494" w:type="pct"/>
            <w:vAlign w:val="center"/>
          </w:tcPr>
          <w:p>
            <w:pPr>
              <w:spacing w:after="0" w:line="240" w:lineRule="auto"/>
              <w:jc w:val="center"/>
              <w:rPr>
                <w:rFonts w:cstheme="minorHAnsi"/>
              </w:rPr>
            </w:pPr>
            <w:r>
              <w:rPr>
                <w:rFonts w:cstheme="minorHAnsi"/>
              </w:rPr>
              <w:t>1</w:t>
            </w:r>
          </w:p>
        </w:tc>
        <w:tc>
          <w:tcPr>
            <w:tcW w:w="543" w:type="pct"/>
            <w:vAlign w:val="center"/>
          </w:tcPr>
          <w:p>
            <w:pPr>
              <w:spacing w:after="0" w:line="240" w:lineRule="auto"/>
              <w:jc w:val="center"/>
              <w:rPr>
                <w:rFonts w:cstheme="minorHAnsi"/>
                <w:sz w:val="16"/>
                <w:szCs w:val="16"/>
                <w:highlight w:val="yellow"/>
              </w:rPr>
            </w:pPr>
          </w:p>
        </w:tc>
        <w:tc>
          <w:tcPr>
            <w:tcW w:w="480" w:type="pct"/>
            <w:vAlign w:val="center"/>
          </w:tcPr>
          <w:p>
            <w:pPr>
              <w:spacing w:after="0" w:line="240" w:lineRule="auto"/>
              <w:jc w:val="center"/>
              <w:rPr>
                <w:rFonts w:cstheme="minorHAns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69" w:type="pct"/>
            <w:vAlign w:val="center"/>
          </w:tcPr>
          <w:p>
            <w:pPr>
              <w:spacing w:after="0" w:line="240" w:lineRule="auto"/>
              <w:jc w:val="center"/>
              <w:rPr>
                <w:b/>
                <w:bCs/>
                <w:sz w:val="20"/>
                <w:szCs w:val="20"/>
              </w:rPr>
            </w:pPr>
            <w:r>
              <w:rPr>
                <w:b/>
                <w:bCs/>
                <w:sz w:val="20"/>
                <w:szCs w:val="20"/>
              </w:rPr>
              <w:t>23</w:t>
            </w:r>
          </w:p>
        </w:tc>
        <w:tc>
          <w:tcPr>
            <w:tcW w:w="2172" w:type="pct"/>
            <w:vAlign w:val="center"/>
          </w:tcPr>
          <w:p>
            <w:pPr>
              <w:pStyle w:val="39"/>
              <w:jc w:val="both"/>
              <w:rPr>
                <w:b/>
              </w:rPr>
            </w:pPr>
            <w:r>
              <w:rPr>
                <w:b/>
              </w:rPr>
              <w:t>FOTÓFORO COM LUPA PARA USO EM PROCEDIMENTOS</w:t>
            </w:r>
            <w:r>
              <w:rPr>
                <w:b/>
                <w:spacing w:val="-8"/>
              </w:rPr>
              <w:t xml:space="preserve"> </w:t>
            </w:r>
            <w:r>
              <w:rPr>
                <w:b/>
              </w:rPr>
              <w:t>ODONTOLÓGICOS</w:t>
            </w:r>
            <w:r>
              <w:rPr>
                <w:b/>
                <w:spacing w:val="-5"/>
              </w:rPr>
              <w:t xml:space="preserve"> </w:t>
            </w:r>
            <w:r>
              <w:t>-</w:t>
            </w:r>
            <w:r>
              <w:rPr>
                <w:spacing w:val="-8"/>
              </w:rPr>
              <w:t xml:space="preserve"> </w:t>
            </w:r>
            <w:r>
              <w:t>Cinta</w:t>
            </w:r>
            <w:r>
              <w:rPr>
                <w:spacing w:val="-10"/>
              </w:rPr>
              <w:t xml:space="preserve"> </w:t>
            </w:r>
            <w:r>
              <w:rPr>
                <w:spacing w:val="-5"/>
              </w:rPr>
              <w:t xml:space="preserve">em </w:t>
            </w:r>
            <w:r>
              <w:t>neoprene com velcro, intensidades em 3 níveis: aproximadamente 5000, 3500 e 2000 lux, emissor</w:t>
            </w:r>
            <w:r>
              <w:rPr>
                <w:spacing w:val="-4"/>
              </w:rPr>
              <w:t xml:space="preserve"> </w:t>
            </w:r>
            <w:r>
              <w:t>de</w:t>
            </w:r>
            <w:r>
              <w:rPr>
                <w:spacing w:val="-4"/>
              </w:rPr>
              <w:t xml:space="preserve"> </w:t>
            </w:r>
            <w:r>
              <w:t>luz</w:t>
            </w:r>
            <w:r>
              <w:rPr>
                <w:spacing w:val="-5"/>
              </w:rPr>
              <w:t xml:space="preserve"> </w:t>
            </w:r>
            <w:r>
              <w:t>LED,</w:t>
            </w:r>
            <w:r>
              <w:rPr>
                <w:spacing w:val="-4"/>
              </w:rPr>
              <w:t xml:space="preserve"> </w:t>
            </w:r>
            <w:r>
              <w:t>luz</w:t>
            </w:r>
            <w:r>
              <w:rPr>
                <w:spacing w:val="-5"/>
              </w:rPr>
              <w:t xml:space="preserve"> </w:t>
            </w:r>
            <w:r>
              <w:t>fria</w:t>
            </w:r>
            <w:r>
              <w:rPr>
                <w:spacing w:val="-8"/>
              </w:rPr>
              <w:t xml:space="preserve"> </w:t>
            </w:r>
            <w:r>
              <w:t>(cor</w:t>
            </w:r>
            <w:r>
              <w:rPr>
                <w:spacing w:val="-5"/>
              </w:rPr>
              <w:t xml:space="preserve"> </w:t>
            </w:r>
            <w:r>
              <w:t>6000K)</w:t>
            </w:r>
            <w:r>
              <w:rPr>
                <w:spacing w:val="-5"/>
              </w:rPr>
              <w:t xml:space="preserve"> </w:t>
            </w:r>
            <w:r>
              <w:t>com</w:t>
            </w:r>
            <w:r>
              <w:rPr>
                <w:spacing w:val="-3"/>
              </w:rPr>
              <w:t xml:space="preserve"> </w:t>
            </w:r>
            <w:r>
              <w:t>feixe homogêneo, 220 v ou Bivolt (com alimentação em</w:t>
            </w:r>
            <w:r>
              <w:rPr>
                <w:spacing w:val="-1"/>
              </w:rPr>
              <w:t xml:space="preserve"> </w:t>
            </w:r>
            <w:r>
              <w:t>bateria</w:t>
            </w:r>
            <w:r>
              <w:rPr>
                <w:spacing w:val="-3"/>
              </w:rPr>
              <w:t xml:space="preserve"> </w:t>
            </w:r>
            <w:r>
              <w:t>recarregável,</w:t>
            </w:r>
            <w:r>
              <w:rPr>
                <w:spacing w:val="-2"/>
              </w:rPr>
              <w:t xml:space="preserve"> </w:t>
            </w:r>
            <w:r>
              <w:t>vida</w:t>
            </w:r>
            <w:r>
              <w:rPr>
                <w:spacing w:val="-2"/>
              </w:rPr>
              <w:t xml:space="preserve"> </w:t>
            </w:r>
            <w:r>
              <w:t>útil</w:t>
            </w:r>
            <w:r>
              <w:rPr>
                <w:spacing w:val="-3"/>
              </w:rPr>
              <w:t xml:space="preserve"> </w:t>
            </w:r>
            <w:r>
              <w:t>aproximada</w:t>
            </w:r>
            <w:r>
              <w:rPr>
                <w:spacing w:val="-2"/>
              </w:rPr>
              <w:t xml:space="preserve"> </w:t>
            </w:r>
            <w:r>
              <w:t xml:space="preserve">de 50.000h sem substituição do LED, autonomia da bateria no mínimo de 2h, lupa com lentes acromáticas e anti-reflexivas, distância interpupilar entre 45 e 80mm, ampliação no mínimo 3,5X, distância de trabalho entre 300 e 420mm. </w:t>
            </w:r>
            <w:r>
              <w:rPr>
                <w:rFonts w:ascii="Times New Roman" w:hAnsi="Times New Roman"/>
                <w:sz w:val="24"/>
              </w:rPr>
              <w:t>Com registro ANVISA.</w:t>
            </w:r>
          </w:p>
        </w:tc>
        <w:tc>
          <w:tcPr>
            <w:tcW w:w="550" w:type="pct"/>
            <w:vAlign w:val="center"/>
          </w:tcPr>
          <w:p>
            <w:pPr>
              <w:spacing w:after="0" w:line="240" w:lineRule="auto"/>
              <w:jc w:val="center"/>
              <w:rPr>
                <w:rFonts w:cstheme="minorHAnsi"/>
                <w:sz w:val="16"/>
                <w:szCs w:val="16"/>
              </w:rPr>
            </w:pPr>
          </w:p>
        </w:tc>
        <w:tc>
          <w:tcPr>
            <w:tcW w:w="390" w:type="pct"/>
            <w:vAlign w:val="center"/>
          </w:tcPr>
          <w:p>
            <w:pPr>
              <w:spacing w:after="0" w:line="240" w:lineRule="auto"/>
              <w:jc w:val="center"/>
              <w:rPr>
                <w:rFonts w:cstheme="minorHAnsi"/>
              </w:rPr>
            </w:pPr>
            <w:r>
              <w:rPr>
                <w:rFonts w:cstheme="minorHAnsi"/>
              </w:rPr>
              <w:t>UNID</w:t>
            </w:r>
          </w:p>
        </w:tc>
        <w:tc>
          <w:tcPr>
            <w:tcW w:w="494" w:type="pct"/>
            <w:vAlign w:val="center"/>
          </w:tcPr>
          <w:p>
            <w:pPr>
              <w:spacing w:after="0" w:line="240" w:lineRule="auto"/>
              <w:jc w:val="center"/>
              <w:rPr>
                <w:rFonts w:cstheme="minorHAnsi"/>
              </w:rPr>
            </w:pPr>
            <w:r>
              <w:rPr>
                <w:rFonts w:cstheme="minorHAnsi"/>
              </w:rPr>
              <w:t>6</w:t>
            </w:r>
          </w:p>
        </w:tc>
        <w:tc>
          <w:tcPr>
            <w:tcW w:w="543" w:type="pct"/>
            <w:vAlign w:val="center"/>
          </w:tcPr>
          <w:p>
            <w:pPr>
              <w:spacing w:after="0" w:line="240" w:lineRule="auto"/>
              <w:jc w:val="center"/>
              <w:rPr>
                <w:rFonts w:cstheme="minorHAnsi"/>
                <w:sz w:val="16"/>
                <w:szCs w:val="16"/>
                <w:highlight w:val="yellow"/>
              </w:rPr>
            </w:pPr>
          </w:p>
        </w:tc>
        <w:tc>
          <w:tcPr>
            <w:tcW w:w="480" w:type="pct"/>
            <w:vAlign w:val="center"/>
          </w:tcPr>
          <w:p>
            <w:pPr>
              <w:spacing w:after="0" w:line="240" w:lineRule="auto"/>
              <w:jc w:val="center"/>
              <w:rPr>
                <w:rFonts w:cstheme="minorHAns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69" w:type="pct"/>
            <w:vAlign w:val="center"/>
          </w:tcPr>
          <w:p>
            <w:pPr>
              <w:spacing w:after="0" w:line="240" w:lineRule="auto"/>
              <w:jc w:val="center"/>
              <w:rPr>
                <w:b/>
                <w:bCs/>
                <w:sz w:val="20"/>
                <w:szCs w:val="20"/>
              </w:rPr>
            </w:pPr>
            <w:r>
              <w:rPr>
                <w:b/>
                <w:bCs/>
                <w:sz w:val="20"/>
                <w:szCs w:val="20"/>
              </w:rPr>
              <w:t>24</w:t>
            </w:r>
          </w:p>
        </w:tc>
        <w:tc>
          <w:tcPr>
            <w:tcW w:w="2172" w:type="pct"/>
          </w:tcPr>
          <w:p>
            <w:pPr>
              <w:pStyle w:val="39"/>
              <w:ind w:right="96"/>
              <w:jc w:val="both"/>
            </w:pPr>
            <w:r>
              <w:rPr>
                <w:b/>
              </w:rPr>
              <w:t>MOTOR</w:t>
            </w:r>
            <w:r>
              <w:rPr>
                <w:b/>
                <w:spacing w:val="-5"/>
              </w:rPr>
              <w:t xml:space="preserve"> </w:t>
            </w:r>
            <w:r>
              <w:rPr>
                <w:b/>
              </w:rPr>
              <w:t>PARA</w:t>
            </w:r>
            <w:r>
              <w:rPr>
                <w:b/>
                <w:spacing w:val="-3"/>
              </w:rPr>
              <w:t xml:space="preserve"> </w:t>
            </w:r>
            <w:r>
              <w:rPr>
                <w:b/>
              </w:rPr>
              <w:t>ENDODONTIA</w:t>
            </w:r>
            <w:r>
              <w:rPr>
                <w:b/>
                <w:spacing w:val="-5"/>
              </w:rPr>
              <w:t xml:space="preserve"> </w:t>
            </w:r>
            <w:r>
              <w:t>–</w:t>
            </w:r>
            <w:r>
              <w:rPr>
                <w:spacing w:val="-3"/>
              </w:rPr>
              <w:t xml:space="preserve"> </w:t>
            </w:r>
            <w:r>
              <w:t>Tipo:</w:t>
            </w:r>
            <w:r>
              <w:rPr>
                <w:spacing w:val="-6"/>
              </w:rPr>
              <w:t xml:space="preserve"> </w:t>
            </w:r>
            <w:r>
              <w:rPr>
                <w:spacing w:val="-4"/>
              </w:rPr>
              <w:t xml:space="preserve">motor </w:t>
            </w:r>
            <w:r>
              <w:t>elétrico de bancada para  endodontia, precisão regulável</w:t>
            </w:r>
            <w:r>
              <w:rPr>
                <w:spacing w:val="-7"/>
              </w:rPr>
              <w:t xml:space="preserve"> </w:t>
            </w:r>
            <w:r>
              <w:t>em</w:t>
            </w:r>
            <w:r>
              <w:rPr>
                <w:spacing w:val="-4"/>
              </w:rPr>
              <w:t xml:space="preserve"> </w:t>
            </w:r>
            <w:r>
              <w:t>velocidade</w:t>
            </w:r>
            <w:r>
              <w:rPr>
                <w:spacing w:val="-5"/>
              </w:rPr>
              <w:t xml:space="preserve"> </w:t>
            </w:r>
            <w:r>
              <w:t>(RPM)</w:t>
            </w:r>
            <w:r>
              <w:rPr>
                <w:spacing w:val="-8"/>
              </w:rPr>
              <w:t xml:space="preserve"> </w:t>
            </w:r>
            <w:r>
              <w:t>e</w:t>
            </w:r>
            <w:r>
              <w:rPr>
                <w:spacing w:val="-7"/>
              </w:rPr>
              <w:t xml:space="preserve"> </w:t>
            </w:r>
            <w:r>
              <w:t>torque</w:t>
            </w:r>
            <w:r>
              <w:rPr>
                <w:spacing w:val="-7"/>
              </w:rPr>
              <w:t xml:space="preserve"> </w:t>
            </w:r>
            <w:r>
              <w:t>(Ncm), rotatório e reciprocante, que permita trabalho com diferentes sistemas de limas, com função auto- reversão. Motor ajustável. Bateria recarregável. Com micromotor, contra ângulo. Padrão tipo INTRA ISO 3964. Pedal de acionamento. Com display. Com escala de controle de torque compreendido aproximadamente entre 0.5 A 8.0 Ncm, rotação máxima</w:t>
            </w:r>
            <w:r>
              <w:rPr>
                <w:spacing w:val="-6"/>
              </w:rPr>
              <w:t xml:space="preserve"> </w:t>
            </w:r>
            <w:r>
              <w:t>de,</w:t>
            </w:r>
            <w:r>
              <w:rPr>
                <w:spacing w:val="-6"/>
              </w:rPr>
              <w:t xml:space="preserve"> </w:t>
            </w:r>
            <w:r>
              <w:t>aproximadamente,</w:t>
            </w:r>
            <w:r>
              <w:rPr>
                <w:spacing w:val="-6"/>
              </w:rPr>
              <w:t xml:space="preserve"> </w:t>
            </w:r>
            <w:r>
              <w:t>2500</w:t>
            </w:r>
            <w:r>
              <w:rPr>
                <w:spacing w:val="-8"/>
              </w:rPr>
              <w:t xml:space="preserve"> </w:t>
            </w:r>
            <w:r>
              <w:t>RPM.</w:t>
            </w:r>
            <w:r>
              <w:rPr>
                <w:spacing w:val="-9"/>
              </w:rPr>
              <w:t xml:space="preserve"> </w:t>
            </w:r>
            <w:r>
              <w:t>Motor endodôntico completo, tela ampla colorida; portátil; contra-ângulo de cabeça pequena, que permita parar e girar no sentido inverso assim que o limite de torque for atingido; deve ser compatível com sistemas de limas disponíveis no mercado; fonte de energia elétrica ou à bateria; bateria com autonomia de no mínimo 2 horas; escalas</w:t>
            </w:r>
            <w:r>
              <w:rPr>
                <w:spacing w:val="-6"/>
              </w:rPr>
              <w:t xml:space="preserve"> </w:t>
            </w:r>
            <w:r>
              <w:t>de</w:t>
            </w:r>
            <w:r>
              <w:rPr>
                <w:spacing w:val="-7"/>
              </w:rPr>
              <w:t xml:space="preserve"> </w:t>
            </w:r>
            <w:r>
              <w:t>velocidade</w:t>
            </w:r>
            <w:r>
              <w:rPr>
                <w:spacing w:val="-6"/>
              </w:rPr>
              <w:t xml:space="preserve"> </w:t>
            </w:r>
            <w:r>
              <w:t>aproximadamente</w:t>
            </w:r>
            <w:r>
              <w:rPr>
                <w:spacing w:val="-7"/>
              </w:rPr>
              <w:t xml:space="preserve"> </w:t>
            </w:r>
            <w:r>
              <w:t>de</w:t>
            </w:r>
            <w:r>
              <w:rPr>
                <w:spacing w:val="-8"/>
              </w:rPr>
              <w:t xml:space="preserve"> </w:t>
            </w:r>
            <w:r>
              <w:t>250</w:t>
            </w:r>
            <w:r>
              <w:rPr>
                <w:spacing w:val="-6"/>
              </w:rPr>
              <w:t xml:space="preserve"> </w:t>
            </w:r>
            <w:r>
              <w:t>a 2500 rpm; Com manual de operação, manutenção, limpeza e conservação em português. Voltagem BIVOLT ou 220 v. Garantia mínima de 01 (um) ano. Deve vir acompanhado de 10 conjuntos de lima do tipo reciprocante.</w:t>
            </w:r>
          </w:p>
          <w:p>
            <w:pPr>
              <w:pStyle w:val="39"/>
              <w:spacing w:line="266" w:lineRule="exact"/>
              <w:jc w:val="both"/>
              <w:rPr>
                <w:b/>
              </w:rPr>
            </w:pPr>
            <w:r>
              <w:rPr>
                <w:rFonts w:ascii="Times New Roman"/>
                <w:sz w:val="24"/>
              </w:rPr>
              <w:t>Com</w:t>
            </w:r>
            <w:r>
              <w:rPr>
                <w:rFonts w:ascii="Times New Roman"/>
                <w:spacing w:val="-9"/>
                <w:sz w:val="24"/>
              </w:rPr>
              <w:t xml:space="preserve"> </w:t>
            </w:r>
            <w:r>
              <w:rPr>
                <w:rFonts w:ascii="Times New Roman"/>
                <w:sz w:val="24"/>
              </w:rPr>
              <w:t>registro</w:t>
            </w:r>
            <w:r>
              <w:rPr>
                <w:rFonts w:ascii="Times New Roman"/>
                <w:spacing w:val="-9"/>
                <w:sz w:val="24"/>
              </w:rPr>
              <w:t xml:space="preserve"> </w:t>
            </w:r>
            <w:r>
              <w:rPr>
                <w:rFonts w:ascii="Times New Roman"/>
                <w:sz w:val="24"/>
              </w:rPr>
              <w:t>ANVISA</w:t>
            </w:r>
          </w:p>
        </w:tc>
        <w:tc>
          <w:tcPr>
            <w:tcW w:w="550" w:type="pct"/>
            <w:vAlign w:val="center"/>
          </w:tcPr>
          <w:p>
            <w:pPr>
              <w:spacing w:after="0" w:line="240" w:lineRule="auto"/>
              <w:jc w:val="center"/>
              <w:rPr>
                <w:rFonts w:cstheme="minorHAnsi"/>
                <w:sz w:val="16"/>
                <w:szCs w:val="16"/>
              </w:rPr>
            </w:pPr>
          </w:p>
        </w:tc>
        <w:tc>
          <w:tcPr>
            <w:tcW w:w="390" w:type="pct"/>
            <w:vAlign w:val="center"/>
          </w:tcPr>
          <w:p>
            <w:pPr>
              <w:spacing w:after="0" w:line="240" w:lineRule="auto"/>
              <w:jc w:val="center"/>
              <w:rPr>
                <w:rFonts w:cstheme="minorHAnsi"/>
              </w:rPr>
            </w:pPr>
            <w:r>
              <w:rPr>
                <w:rFonts w:cstheme="minorHAnsi"/>
              </w:rPr>
              <w:t>UNID</w:t>
            </w:r>
          </w:p>
        </w:tc>
        <w:tc>
          <w:tcPr>
            <w:tcW w:w="494" w:type="pct"/>
            <w:vAlign w:val="center"/>
          </w:tcPr>
          <w:p>
            <w:pPr>
              <w:spacing w:after="0" w:line="240" w:lineRule="auto"/>
              <w:jc w:val="center"/>
              <w:rPr>
                <w:rFonts w:cstheme="minorHAnsi"/>
              </w:rPr>
            </w:pPr>
            <w:r>
              <w:rPr>
                <w:rFonts w:cstheme="minorHAnsi"/>
              </w:rPr>
              <w:t>1</w:t>
            </w:r>
          </w:p>
        </w:tc>
        <w:tc>
          <w:tcPr>
            <w:tcW w:w="543" w:type="pct"/>
            <w:vAlign w:val="center"/>
          </w:tcPr>
          <w:p>
            <w:pPr>
              <w:spacing w:after="0" w:line="240" w:lineRule="auto"/>
              <w:jc w:val="center"/>
              <w:rPr>
                <w:rFonts w:cstheme="minorHAnsi"/>
                <w:sz w:val="20"/>
                <w:szCs w:val="20"/>
                <w:highlight w:val="yellow"/>
              </w:rPr>
            </w:pPr>
          </w:p>
        </w:tc>
        <w:tc>
          <w:tcPr>
            <w:tcW w:w="480" w:type="pct"/>
            <w:vAlign w:val="center"/>
          </w:tcPr>
          <w:p>
            <w:pPr>
              <w:spacing w:after="0" w:line="240" w:lineRule="auto"/>
              <w:jc w:val="center"/>
              <w:rPr>
                <w:rFonts w:cstheme="minorHAns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69" w:type="pct"/>
            <w:vAlign w:val="center"/>
          </w:tcPr>
          <w:p>
            <w:pPr>
              <w:spacing w:after="0" w:line="240" w:lineRule="auto"/>
              <w:jc w:val="center"/>
              <w:rPr>
                <w:b/>
                <w:bCs/>
                <w:sz w:val="20"/>
                <w:szCs w:val="20"/>
              </w:rPr>
            </w:pPr>
            <w:r>
              <w:rPr>
                <w:b/>
                <w:bCs/>
                <w:sz w:val="20"/>
                <w:szCs w:val="20"/>
              </w:rPr>
              <w:t>25</w:t>
            </w:r>
          </w:p>
        </w:tc>
        <w:tc>
          <w:tcPr>
            <w:tcW w:w="2172" w:type="pct"/>
            <w:vAlign w:val="center"/>
          </w:tcPr>
          <w:p>
            <w:pPr>
              <w:pStyle w:val="39"/>
              <w:spacing w:line="267" w:lineRule="exact"/>
              <w:jc w:val="both"/>
            </w:pPr>
            <w:r>
              <w:rPr>
                <w:b/>
              </w:rPr>
              <w:t>APARELHO</w:t>
            </w:r>
            <w:r>
              <w:rPr>
                <w:b/>
                <w:spacing w:val="-6"/>
              </w:rPr>
              <w:t xml:space="preserve"> </w:t>
            </w:r>
            <w:r>
              <w:rPr>
                <w:b/>
              </w:rPr>
              <w:t>RAIOS</w:t>
            </w:r>
            <w:r>
              <w:rPr>
                <w:b/>
                <w:spacing w:val="-3"/>
              </w:rPr>
              <w:t xml:space="preserve"> </w:t>
            </w:r>
            <w:r>
              <w:rPr>
                <w:b/>
              </w:rPr>
              <w:t>X</w:t>
            </w:r>
            <w:r>
              <w:rPr>
                <w:b/>
                <w:spacing w:val="-4"/>
              </w:rPr>
              <w:t xml:space="preserve"> </w:t>
            </w:r>
            <w:r>
              <w:rPr>
                <w:b/>
              </w:rPr>
              <w:t>ODONTOLÓGICO</w:t>
            </w:r>
            <w:r>
              <w:rPr>
                <w:b/>
                <w:spacing w:val="-5"/>
              </w:rPr>
              <w:t xml:space="preserve"> </w:t>
            </w:r>
            <w:r>
              <w:rPr>
                <w:b/>
              </w:rPr>
              <w:t>–</w:t>
            </w:r>
            <w:r>
              <w:rPr>
                <w:b/>
                <w:spacing w:val="-6"/>
              </w:rPr>
              <w:t xml:space="preserve"> </w:t>
            </w:r>
            <w:r>
              <w:rPr>
                <w:spacing w:val="-2"/>
              </w:rPr>
              <w:t xml:space="preserve">Potência </w:t>
            </w:r>
            <w:r>
              <w:t>aparelho: aproximadamente 1200 kVp a 1400kVp. Uso Odontológico. Bivolt ou 220 v; Tempo de radiação ajustável no mínimo entre aproximadamente</w:t>
            </w:r>
            <w:r>
              <w:rPr>
                <w:spacing w:val="-7"/>
              </w:rPr>
              <w:t xml:space="preserve"> </w:t>
            </w:r>
            <w:r>
              <w:t>150</w:t>
            </w:r>
            <w:r>
              <w:rPr>
                <w:spacing w:val="-7"/>
              </w:rPr>
              <w:t xml:space="preserve"> </w:t>
            </w:r>
            <w:r>
              <w:t>a</w:t>
            </w:r>
            <w:r>
              <w:rPr>
                <w:spacing w:val="-5"/>
              </w:rPr>
              <w:t xml:space="preserve"> </w:t>
            </w:r>
            <w:r>
              <w:t>600</w:t>
            </w:r>
            <w:r>
              <w:rPr>
                <w:spacing w:val="-7"/>
              </w:rPr>
              <w:t xml:space="preserve"> </w:t>
            </w:r>
            <w:r>
              <w:t>ms.</w:t>
            </w:r>
            <w:r>
              <w:rPr>
                <w:spacing w:val="-5"/>
              </w:rPr>
              <w:t xml:space="preserve"> </w:t>
            </w:r>
            <w:r>
              <w:t>Indicador</w:t>
            </w:r>
            <w:r>
              <w:rPr>
                <w:spacing w:val="-5"/>
              </w:rPr>
              <w:t xml:space="preserve"> </w:t>
            </w:r>
            <w:r>
              <w:t>digital tempo radiação. Compatível com películas radiográficas convencionais. Amperagem: 9 MA Características Adicionais: Coluna Móvel, Digital.</w:t>
            </w:r>
          </w:p>
          <w:p>
            <w:pPr>
              <w:pStyle w:val="39"/>
              <w:spacing w:line="267" w:lineRule="exact"/>
              <w:jc w:val="both"/>
              <w:rPr>
                <w:b/>
              </w:rPr>
            </w:pPr>
            <w:r>
              <w:rPr>
                <w:rFonts w:ascii="Times New Roman" w:hAnsi="Times New Roman"/>
                <w:sz w:val="24"/>
              </w:rPr>
              <w:t>Com</w:t>
            </w:r>
            <w:r>
              <w:rPr>
                <w:rFonts w:ascii="Times New Roman" w:hAnsi="Times New Roman"/>
                <w:spacing w:val="-5"/>
                <w:sz w:val="24"/>
              </w:rPr>
              <w:t xml:space="preserve"> </w:t>
            </w:r>
            <w:r>
              <w:rPr>
                <w:rFonts w:ascii="Times New Roman" w:hAnsi="Times New Roman"/>
                <w:sz w:val="24"/>
              </w:rPr>
              <w:t>registro</w:t>
            </w:r>
            <w:r>
              <w:rPr>
                <w:rFonts w:ascii="Times New Roman" w:hAnsi="Times New Roman"/>
                <w:spacing w:val="-5"/>
                <w:sz w:val="24"/>
              </w:rPr>
              <w:t xml:space="preserve"> </w:t>
            </w:r>
            <w:r>
              <w:rPr>
                <w:rFonts w:ascii="Times New Roman" w:hAnsi="Times New Roman"/>
                <w:sz w:val="24"/>
              </w:rPr>
              <w:t>ANVISA.</w:t>
            </w:r>
          </w:p>
        </w:tc>
        <w:tc>
          <w:tcPr>
            <w:tcW w:w="550" w:type="pct"/>
            <w:vAlign w:val="center"/>
          </w:tcPr>
          <w:p>
            <w:pPr>
              <w:spacing w:after="0" w:line="240" w:lineRule="auto"/>
              <w:jc w:val="center"/>
              <w:rPr>
                <w:rFonts w:cstheme="minorHAnsi"/>
                <w:sz w:val="16"/>
                <w:szCs w:val="16"/>
              </w:rPr>
            </w:pPr>
          </w:p>
        </w:tc>
        <w:tc>
          <w:tcPr>
            <w:tcW w:w="390" w:type="pct"/>
            <w:vAlign w:val="center"/>
          </w:tcPr>
          <w:p>
            <w:pPr>
              <w:spacing w:after="0" w:line="240" w:lineRule="auto"/>
              <w:jc w:val="center"/>
              <w:rPr>
                <w:rFonts w:cstheme="minorHAnsi"/>
              </w:rPr>
            </w:pPr>
            <w:r>
              <w:rPr>
                <w:rFonts w:cstheme="minorHAnsi"/>
              </w:rPr>
              <w:t>UNID</w:t>
            </w:r>
          </w:p>
        </w:tc>
        <w:tc>
          <w:tcPr>
            <w:tcW w:w="494" w:type="pct"/>
            <w:vAlign w:val="center"/>
          </w:tcPr>
          <w:p>
            <w:pPr>
              <w:spacing w:after="0" w:line="240" w:lineRule="auto"/>
              <w:jc w:val="center"/>
              <w:rPr>
                <w:rFonts w:cstheme="minorHAnsi"/>
              </w:rPr>
            </w:pPr>
            <w:r>
              <w:rPr>
                <w:rFonts w:cstheme="minorHAnsi"/>
              </w:rPr>
              <w:t>4</w:t>
            </w:r>
          </w:p>
        </w:tc>
        <w:tc>
          <w:tcPr>
            <w:tcW w:w="543" w:type="pct"/>
            <w:vAlign w:val="center"/>
          </w:tcPr>
          <w:p>
            <w:pPr>
              <w:spacing w:after="0" w:line="240" w:lineRule="auto"/>
              <w:jc w:val="center"/>
              <w:rPr>
                <w:rFonts w:cstheme="minorHAnsi"/>
                <w:sz w:val="16"/>
                <w:szCs w:val="16"/>
                <w:highlight w:val="yellow"/>
              </w:rPr>
            </w:pPr>
          </w:p>
        </w:tc>
        <w:tc>
          <w:tcPr>
            <w:tcW w:w="480" w:type="pct"/>
            <w:vAlign w:val="center"/>
          </w:tcPr>
          <w:p>
            <w:pPr>
              <w:spacing w:after="0" w:line="240" w:lineRule="auto"/>
              <w:jc w:val="center"/>
              <w:rPr>
                <w:rFonts w:ascii="Arial" w:hAnsi="Arial" w:cs="Arial"/>
                <w:sz w:val="15"/>
                <w:szCs w:val="15"/>
                <w:lang w:eastAsia="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519" w:type="pct"/>
            <w:gridSpan w:val="6"/>
            <w:vAlign w:val="center"/>
          </w:tcPr>
          <w:p>
            <w:pPr>
              <w:spacing w:after="0" w:line="240" w:lineRule="auto"/>
              <w:jc w:val="right"/>
              <w:rPr>
                <w:color w:val="000000"/>
                <w:sz w:val="20"/>
                <w:szCs w:val="20"/>
              </w:rPr>
            </w:pPr>
            <w:r>
              <w:rPr>
                <w:color w:val="000000"/>
                <w:sz w:val="20"/>
                <w:szCs w:val="20"/>
              </w:rPr>
              <w:t>Subtotal Lote 1</w:t>
            </w:r>
          </w:p>
        </w:tc>
        <w:tc>
          <w:tcPr>
            <w:tcW w:w="480" w:type="pct"/>
            <w:vAlign w:val="center"/>
          </w:tcPr>
          <w:p>
            <w:pPr>
              <w:spacing w:after="0" w:line="240" w:lineRule="auto"/>
              <w:jc w:val="center"/>
              <w:rPr>
                <w:rFonts w:ascii="Aptos Narrow" w:hAnsi="Aptos Narrow"/>
                <w:color w:val="000000"/>
                <w:lang w:eastAsia="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000" w:type="pct"/>
            <w:gridSpan w:val="7"/>
            <w:shd w:val="clear" w:color="auto" w:fill="AEAAAA" w:themeFill="background2" w:themeFillShade="BF"/>
            <w:vAlign w:val="center"/>
          </w:tcPr>
          <w:p>
            <w:pPr>
              <w:spacing w:after="0" w:line="240" w:lineRule="auto"/>
              <w:jc w:val="center"/>
              <w:rPr>
                <w:rFonts w:cstheme="minorHAnsi"/>
                <w:b/>
                <w:bCs/>
              </w:rPr>
            </w:pPr>
            <w:r>
              <w:rPr>
                <w:rFonts w:cstheme="minorHAnsi"/>
                <w:b/>
                <w:bCs/>
              </w:rPr>
              <w:t>LOTE 02: MOBILIÁRIOS ODONTOLÓGICOS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3" w:hRule="atLeast"/>
        </w:trPr>
        <w:tc>
          <w:tcPr>
            <w:tcW w:w="369" w:type="pct"/>
            <w:vAlign w:val="center"/>
          </w:tcPr>
          <w:p>
            <w:pPr>
              <w:spacing w:after="0" w:line="240" w:lineRule="auto"/>
              <w:jc w:val="center"/>
              <w:rPr>
                <w:b/>
                <w:bCs/>
                <w:sz w:val="20"/>
                <w:szCs w:val="20"/>
              </w:rPr>
            </w:pPr>
            <w:r>
              <w:rPr>
                <w:b/>
                <w:bCs/>
                <w:sz w:val="20"/>
                <w:szCs w:val="20"/>
              </w:rPr>
              <w:t>26</w:t>
            </w:r>
          </w:p>
        </w:tc>
        <w:tc>
          <w:tcPr>
            <w:tcW w:w="2172" w:type="pct"/>
            <w:vAlign w:val="center"/>
          </w:tcPr>
          <w:p>
            <w:pPr>
              <w:pStyle w:val="39"/>
              <w:spacing w:line="268" w:lineRule="exact"/>
              <w:ind w:left="108"/>
              <w:jc w:val="both"/>
            </w:pPr>
            <w:r>
              <w:rPr>
                <w:b/>
              </w:rPr>
              <w:t>MESA</w:t>
            </w:r>
            <w:r>
              <w:rPr>
                <w:b/>
                <w:spacing w:val="-7"/>
              </w:rPr>
              <w:t xml:space="preserve"> </w:t>
            </w:r>
            <w:r>
              <w:rPr>
                <w:b/>
              </w:rPr>
              <w:t>AUXILIAR</w:t>
            </w:r>
            <w:r>
              <w:rPr>
                <w:b/>
                <w:spacing w:val="-5"/>
              </w:rPr>
              <w:t xml:space="preserve"> </w:t>
            </w:r>
            <w:r>
              <w:rPr>
                <w:b/>
              </w:rPr>
              <w:t>ODONTOLÓGICA</w:t>
            </w:r>
            <w:r>
              <w:rPr>
                <w:b/>
                <w:spacing w:val="-3"/>
              </w:rPr>
              <w:t xml:space="preserve"> </w:t>
            </w:r>
            <w:r>
              <w:rPr>
                <w:color w:val="485056"/>
              </w:rPr>
              <w:t>-</w:t>
            </w:r>
            <w:r>
              <w:rPr>
                <w:color w:val="485056"/>
                <w:spacing w:val="-7"/>
              </w:rPr>
              <w:t xml:space="preserve"> </w:t>
            </w:r>
            <w:r>
              <w:rPr>
                <w:spacing w:val="-2"/>
              </w:rPr>
              <w:t xml:space="preserve">Material: </w:t>
            </w:r>
            <w:r>
              <w:t>MDF.</w:t>
            </w:r>
            <w:r>
              <w:rPr>
                <w:spacing w:val="-7"/>
              </w:rPr>
              <w:t xml:space="preserve"> </w:t>
            </w:r>
            <w:r>
              <w:rPr>
                <w:color w:val="333333"/>
              </w:rPr>
              <w:t>Pés</w:t>
            </w:r>
            <w:r>
              <w:rPr>
                <w:color w:val="333333"/>
                <w:spacing w:val="-6"/>
              </w:rPr>
              <w:t xml:space="preserve"> </w:t>
            </w:r>
            <w:r>
              <w:rPr>
                <w:color w:val="333333"/>
              </w:rPr>
              <w:t>com</w:t>
            </w:r>
            <w:r>
              <w:rPr>
                <w:color w:val="333333"/>
                <w:spacing w:val="-6"/>
              </w:rPr>
              <w:t xml:space="preserve"> </w:t>
            </w:r>
            <w:r>
              <w:rPr>
                <w:color w:val="333333"/>
              </w:rPr>
              <w:t>rodízios;</w:t>
            </w:r>
            <w:r>
              <w:rPr>
                <w:color w:val="333333"/>
                <w:spacing w:val="-6"/>
              </w:rPr>
              <w:t xml:space="preserve"> </w:t>
            </w:r>
            <w:r>
              <w:rPr>
                <w:color w:val="333333"/>
              </w:rPr>
              <w:t>com</w:t>
            </w:r>
            <w:r>
              <w:rPr>
                <w:color w:val="333333"/>
                <w:spacing w:val="-5"/>
              </w:rPr>
              <w:t xml:space="preserve"> </w:t>
            </w:r>
            <w:r>
              <w:rPr>
                <w:color w:val="333333"/>
              </w:rPr>
              <w:t>4</w:t>
            </w:r>
            <w:r>
              <w:rPr>
                <w:color w:val="333333"/>
                <w:spacing w:val="-4"/>
              </w:rPr>
              <w:t xml:space="preserve"> </w:t>
            </w:r>
            <w:r>
              <w:rPr>
                <w:color w:val="333333"/>
              </w:rPr>
              <w:t>gavetas,</w:t>
            </w:r>
            <w:r>
              <w:rPr>
                <w:color w:val="333333"/>
                <w:spacing w:val="-7"/>
              </w:rPr>
              <w:t xml:space="preserve"> </w:t>
            </w:r>
            <w:r>
              <w:rPr>
                <w:color w:val="333333"/>
              </w:rPr>
              <w:t>contendo espaço livre aberto (nicho inferior) abaixo das gavetas para armazenamento de equipamentos. Tamanho aproximadamente 0,50m x 0,50m x 0,70 – 0,80 m.</w:t>
            </w:r>
          </w:p>
          <w:p>
            <w:pPr>
              <w:pStyle w:val="39"/>
              <w:spacing w:before="154"/>
              <w:ind w:left="108"/>
              <w:jc w:val="both"/>
              <w:rPr>
                <w:color w:val="485056"/>
                <w:spacing w:val="-2"/>
              </w:rPr>
            </w:pPr>
            <w:r>
              <w:rPr>
                <w:color w:val="485056"/>
              </w:rPr>
              <w:t>Imagem</w:t>
            </w:r>
            <w:r>
              <w:rPr>
                <w:color w:val="485056"/>
                <w:spacing w:val="-2"/>
              </w:rPr>
              <w:t xml:space="preserve"> ilustrativa:</w:t>
            </w:r>
          </w:p>
          <w:p>
            <w:pPr>
              <w:pStyle w:val="39"/>
              <w:spacing w:before="154"/>
              <w:ind w:left="108"/>
              <w:jc w:val="both"/>
              <w:rPr>
                <w:b/>
              </w:rPr>
            </w:pPr>
            <w:r>
              <w:drawing>
                <wp:inline distT="0" distB="0" distL="114300" distR="114300">
                  <wp:extent cx="714375" cy="914400"/>
                  <wp:effectExtent l="0" t="0" r="9525" b="0"/>
                  <wp:docPr id="5"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m 4"/>
                          <pic:cNvPicPr>
                            <a:picLocks noChangeAspect="1"/>
                          </pic:cNvPicPr>
                        </pic:nvPicPr>
                        <pic:blipFill>
                          <a:blip r:embed="rId7"/>
                          <a:stretch>
                            <a:fillRect/>
                          </a:stretch>
                        </pic:blipFill>
                        <pic:spPr>
                          <a:xfrm>
                            <a:off x="0" y="0"/>
                            <a:ext cx="714375" cy="914400"/>
                          </a:xfrm>
                          <a:prstGeom prst="rect">
                            <a:avLst/>
                          </a:prstGeom>
                          <a:noFill/>
                          <a:ln>
                            <a:noFill/>
                          </a:ln>
                        </pic:spPr>
                      </pic:pic>
                    </a:graphicData>
                  </a:graphic>
                </wp:inline>
              </w:drawing>
            </w:r>
          </w:p>
          <w:p>
            <w:pPr>
              <w:pStyle w:val="39"/>
              <w:spacing w:line="268" w:lineRule="exact"/>
              <w:jc w:val="both"/>
              <w:rPr>
                <w:b/>
              </w:rPr>
            </w:pPr>
            <w:bookmarkStart w:id="2" w:name="_GoBack"/>
            <w:bookmarkEnd w:id="2"/>
          </w:p>
        </w:tc>
        <w:tc>
          <w:tcPr>
            <w:tcW w:w="550" w:type="pct"/>
            <w:vAlign w:val="center"/>
          </w:tcPr>
          <w:p>
            <w:pPr>
              <w:spacing w:after="0" w:line="240" w:lineRule="auto"/>
              <w:jc w:val="center"/>
              <w:rPr>
                <w:rFonts w:cstheme="minorHAnsi"/>
                <w:sz w:val="16"/>
                <w:szCs w:val="16"/>
              </w:rPr>
            </w:pPr>
          </w:p>
        </w:tc>
        <w:tc>
          <w:tcPr>
            <w:tcW w:w="390" w:type="pct"/>
            <w:vAlign w:val="center"/>
          </w:tcPr>
          <w:p>
            <w:pPr>
              <w:spacing w:after="0" w:line="240" w:lineRule="auto"/>
              <w:jc w:val="center"/>
              <w:rPr>
                <w:rFonts w:cstheme="minorHAnsi"/>
              </w:rPr>
            </w:pPr>
            <w:r>
              <w:rPr>
                <w:rFonts w:cstheme="minorHAnsi"/>
              </w:rPr>
              <w:t>UNID</w:t>
            </w:r>
          </w:p>
        </w:tc>
        <w:tc>
          <w:tcPr>
            <w:tcW w:w="494" w:type="pct"/>
            <w:vAlign w:val="center"/>
          </w:tcPr>
          <w:p>
            <w:pPr>
              <w:spacing w:after="0" w:line="240" w:lineRule="auto"/>
              <w:jc w:val="center"/>
              <w:rPr>
                <w:rFonts w:cstheme="minorHAnsi"/>
              </w:rPr>
            </w:pPr>
            <w:r>
              <w:rPr>
                <w:rFonts w:cstheme="minorHAnsi"/>
              </w:rPr>
              <w:t>28</w:t>
            </w:r>
          </w:p>
        </w:tc>
        <w:tc>
          <w:tcPr>
            <w:tcW w:w="543" w:type="pct"/>
            <w:vAlign w:val="center"/>
          </w:tcPr>
          <w:p>
            <w:pPr>
              <w:spacing w:after="0" w:line="240" w:lineRule="auto"/>
              <w:jc w:val="center"/>
              <w:rPr>
                <w:rFonts w:cstheme="minorHAnsi"/>
                <w:sz w:val="20"/>
                <w:szCs w:val="20"/>
                <w:highlight w:val="yellow"/>
              </w:rPr>
            </w:pPr>
          </w:p>
        </w:tc>
        <w:tc>
          <w:tcPr>
            <w:tcW w:w="480" w:type="pct"/>
            <w:vAlign w:val="center"/>
          </w:tcPr>
          <w:p>
            <w:pPr>
              <w:spacing w:after="0" w:line="240" w:lineRule="auto"/>
              <w:jc w:val="center"/>
              <w:rPr>
                <w:rFonts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69" w:type="pct"/>
            <w:vAlign w:val="center"/>
          </w:tcPr>
          <w:p>
            <w:pPr>
              <w:spacing w:after="0" w:line="240" w:lineRule="auto"/>
              <w:jc w:val="center"/>
              <w:rPr>
                <w:b/>
                <w:bCs/>
                <w:sz w:val="20"/>
                <w:szCs w:val="20"/>
              </w:rPr>
            </w:pPr>
            <w:r>
              <w:rPr>
                <w:b/>
                <w:bCs/>
                <w:sz w:val="20"/>
                <w:szCs w:val="20"/>
              </w:rPr>
              <w:t>27</w:t>
            </w:r>
          </w:p>
        </w:tc>
        <w:tc>
          <w:tcPr>
            <w:tcW w:w="2172" w:type="pct"/>
          </w:tcPr>
          <w:p>
            <w:pPr>
              <w:pStyle w:val="39"/>
              <w:spacing w:line="268" w:lineRule="exact"/>
              <w:jc w:val="both"/>
              <w:rPr>
                <w:b/>
              </w:rPr>
            </w:pPr>
            <w:r>
              <w:rPr>
                <w:b/>
              </w:rPr>
              <w:t>ASSENTO</w:t>
            </w:r>
            <w:r>
              <w:rPr>
                <w:b/>
                <w:spacing w:val="-7"/>
              </w:rPr>
              <w:t xml:space="preserve"> </w:t>
            </w:r>
            <w:r>
              <w:rPr>
                <w:b/>
              </w:rPr>
              <w:t>ODONTOPEDIATRICO</w:t>
            </w:r>
            <w:r>
              <w:rPr>
                <w:b/>
                <w:spacing w:val="-6"/>
              </w:rPr>
              <w:t xml:space="preserve"> </w:t>
            </w:r>
            <w:r>
              <w:rPr>
                <w:b/>
              </w:rPr>
              <w:t>–</w:t>
            </w:r>
            <w:r>
              <w:rPr>
                <w:b/>
                <w:spacing w:val="-2"/>
              </w:rPr>
              <w:t xml:space="preserve"> </w:t>
            </w:r>
            <w:r>
              <w:rPr>
                <w:spacing w:val="-2"/>
              </w:rPr>
              <w:t xml:space="preserve">Assento </w:t>
            </w:r>
            <w:r>
              <w:t>odontopediátrico adaptável à cadeira odontológica. Impermeável. Capa plástica permitindo</w:t>
            </w:r>
            <w:r>
              <w:rPr>
                <w:spacing w:val="-9"/>
              </w:rPr>
              <w:t xml:space="preserve"> </w:t>
            </w:r>
            <w:r>
              <w:t>melhor</w:t>
            </w:r>
            <w:r>
              <w:rPr>
                <w:spacing w:val="-11"/>
              </w:rPr>
              <w:t xml:space="preserve"> </w:t>
            </w:r>
            <w:r>
              <w:t>higienização.</w:t>
            </w:r>
            <w:r>
              <w:rPr>
                <w:spacing w:val="-11"/>
              </w:rPr>
              <w:t xml:space="preserve"> </w:t>
            </w:r>
            <w:r>
              <w:t>De</w:t>
            </w:r>
            <w:r>
              <w:rPr>
                <w:spacing w:val="-8"/>
              </w:rPr>
              <w:t xml:space="preserve"> </w:t>
            </w:r>
            <w:r>
              <w:t xml:space="preserve">preferência com tiras de fixação e contenção. </w:t>
            </w:r>
          </w:p>
        </w:tc>
        <w:tc>
          <w:tcPr>
            <w:tcW w:w="550" w:type="pct"/>
            <w:vAlign w:val="center"/>
          </w:tcPr>
          <w:p>
            <w:pPr>
              <w:spacing w:after="0" w:line="240" w:lineRule="auto"/>
              <w:jc w:val="center"/>
              <w:rPr>
                <w:rFonts w:cstheme="minorHAnsi"/>
                <w:sz w:val="16"/>
                <w:szCs w:val="16"/>
              </w:rPr>
            </w:pPr>
          </w:p>
        </w:tc>
        <w:tc>
          <w:tcPr>
            <w:tcW w:w="390" w:type="pct"/>
            <w:vAlign w:val="center"/>
          </w:tcPr>
          <w:p>
            <w:pPr>
              <w:spacing w:after="0" w:line="240" w:lineRule="auto"/>
              <w:jc w:val="center"/>
              <w:rPr>
                <w:rFonts w:cstheme="minorHAnsi"/>
              </w:rPr>
            </w:pPr>
            <w:r>
              <w:rPr>
                <w:rFonts w:cstheme="minorHAnsi"/>
              </w:rPr>
              <w:t>UNID</w:t>
            </w:r>
          </w:p>
        </w:tc>
        <w:tc>
          <w:tcPr>
            <w:tcW w:w="494" w:type="pct"/>
            <w:vAlign w:val="center"/>
          </w:tcPr>
          <w:p>
            <w:pPr>
              <w:spacing w:after="0" w:line="240" w:lineRule="auto"/>
              <w:jc w:val="center"/>
              <w:rPr>
                <w:rFonts w:cstheme="minorHAnsi"/>
              </w:rPr>
            </w:pPr>
            <w:r>
              <w:rPr>
                <w:rFonts w:cstheme="minorHAnsi"/>
              </w:rPr>
              <w:t>1</w:t>
            </w:r>
          </w:p>
        </w:tc>
        <w:tc>
          <w:tcPr>
            <w:tcW w:w="543" w:type="pct"/>
            <w:vAlign w:val="center"/>
          </w:tcPr>
          <w:p>
            <w:pPr>
              <w:spacing w:after="0" w:line="240" w:lineRule="auto"/>
              <w:jc w:val="center"/>
              <w:rPr>
                <w:rFonts w:cstheme="minorHAnsi"/>
                <w:sz w:val="20"/>
                <w:szCs w:val="20"/>
                <w:highlight w:val="yellow"/>
              </w:rPr>
            </w:pPr>
          </w:p>
        </w:tc>
        <w:tc>
          <w:tcPr>
            <w:tcW w:w="480" w:type="pct"/>
            <w:vAlign w:val="center"/>
          </w:tcPr>
          <w:p>
            <w:pPr>
              <w:spacing w:after="0" w:line="240" w:lineRule="auto"/>
              <w:jc w:val="center"/>
              <w:rPr>
                <w:rFonts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69" w:type="pct"/>
            <w:vAlign w:val="center"/>
          </w:tcPr>
          <w:p>
            <w:pPr>
              <w:spacing w:after="0" w:line="240" w:lineRule="auto"/>
              <w:jc w:val="center"/>
              <w:rPr>
                <w:b/>
                <w:bCs/>
                <w:sz w:val="20"/>
                <w:szCs w:val="20"/>
              </w:rPr>
            </w:pPr>
            <w:r>
              <w:rPr>
                <w:b/>
                <w:bCs/>
                <w:sz w:val="20"/>
                <w:szCs w:val="20"/>
              </w:rPr>
              <w:t>28</w:t>
            </w:r>
          </w:p>
        </w:tc>
        <w:tc>
          <w:tcPr>
            <w:tcW w:w="2172" w:type="pct"/>
            <w:vAlign w:val="center"/>
          </w:tcPr>
          <w:p>
            <w:pPr>
              <w:pStyle w:val="39"/>
              <w:spacing w:line="268" w:lineRule="exact"/>
              <w:jc w:val="both"/>
              <w:rPr>
                <w:b/>
              </w:rPr>
            </w:pPr>
            <w:r>
              <w:rPr>
                <w:b/>
              </w:rPr>
              <w:t>KART</w:t>
            </w:r>
            <w:r>
              <w:rPr>
                <w:b/>
                <w:spacing w:val="-6"/>
              </w:rPr>
              <w:t xml:space="preserve"> </w:t>
            </w:r>
            <w:r>
              <w:rPr>
                <w:b/>
              </w:rPr>
              <w:t>CLÍNICO</w:t>
            </w:r>
            <w:r>
              <w:rPr>
                <w:b/>
                <w:spacing w:val="-4"/>
              </w:rPr>
              <w:t xml:space="preserve"> </w:t>
            </w:r>
            <w:r>
              <w:rPr>
                <w:b/>
              </w:rPr>
              <w:t>AUXILIAR</w:t>
            </w:r>
            <w:r>
              <w:rPr>
                <w:b/>
                <w:spacing w:val="-5"/>
              </w:rPr>
              <w:t xml:space="preserve"> </w:t>
            </w:r>
            <w:r>
              <w:rPr>
                <w:b/>
              </w:rPr>
              <w:t>COM</w:t>
            </w:r>
            <w:r>
              <w:rPr>
                <w:b/>
                <w:spacing w:val="-6"/>
              </w:rPr>
              <w:t xml:space="preserve"> </w:t>
            </w:r>
            <w:r>
              <w:rPr>
                <w:b/>
              </w:rPr>
              <w:t>3</w:t>
            </w:r>
            <w:r>
              <w:rPr>
                <w:b/>
                <w:spacing w:val="-3"/>
              </w:rPr>
              <w:t xml:space="preserve"> </w:t>
            </w:r>
            <w:r>
              <w:rPr>
                <w:b/>
              </w:rPr>
              <w:t>PRATELEIRAS</w:t>
            </w:r>
            <w:r>
              <w:rPr>
                <w:b/>
                <w:spacing w:val="-3"/>
              </w:rPr>
              <w:t xml:space="preserve"> </w:t>
            </w:r>
            <w:r>
              <w:rPr>
                <w:b/>
                <w:spacing w:val="-10"/>
              </w:rPr>
              <w:t xml:space="preserve">E </w:t>
            </w:r>
            <w:r>
              <w:rPr>
                <w:b/>
              </w:rPr>
              <w:t xml:space="preserve">RODÍZIOS – </w:t>
            </w:r>
            <w:r>
              <w:t>Kart clínico auxiliar com 03 prateleiras e rodízios giratórios. Fácil limpeza e desinfecção da superfície, em material MDF ou aço carbono com pintura epóxi ou polipropileno. Dimensões</w:t>
            </w:r>
            <w:r>
              <w:rPr>
                <w:spacing w:val="-6"/>
              </w:rPr>
              <w:t xml:space="preserve"> </w:t>
            </w:r>
            <w:r>
              <w:t>aproximadas:</w:t>
            </w:r>
            <w:r>
              <w:rPr>
                <w:spacing w:val="-8"/>
              </w:rPr>
              <w:t xml:space="preserve"> </w:t>
            </w:r>
            <w:r>
              <w:t>altura</w:t>
            </w:r>
            <w:r>
              <w:rPr>
                <w:spacing w:val="-7"/>
              </w:rPr>
              <w:t xml:space="preserve"> </w:t>
            </w:r>
            <w:r>
              <w:t>75</w:t>
            </w:r>
            <w:r>
              <w:rPr>
                <w:spacing w:val="-6"/>
              </w:rPr>
              <w:t xml:space="preserve"> </w:t>
            </w:r>
            <w:r>
              <w:t>cm,</w:t>
            </w:r>
            <w:r>
              <w:rPr>
                <w:spacing w:val="-6"/>
              </w:rPr>
              <w:t xml:space="preserve"> </w:t>
            </w:r>
            <w:r>
              <w:t>largura</w:t>
            </w:r>
            <w:r>
              <w:rPr>
                <w:spacing w:val="-9"/>
              </w:rPr>
              <w:t xml:space="preserve"> </w:t>
            </w:r>
            <w:r>
              <w:t>50 cm, profundidade 40 cm; Altura entre os nichos 25</w:t>
            </w:r>
            <w:r>
              <w:rPr>
                <w:spacing w:val="-2"/>
              </w:rPr>
              <w:t xml:space="preserve"> </w:t>
            </w:r>
            <w:r>
              <w:t>cm</w:t>
            </w:r>
            <w:r>
              <w:rPr>
                <w:spacing w:val="-1"/>
              </w:rPr>
              <w:t xml:space="preserve"> </w:t>
            </w:r>
            <w:r>
              <w:rPr>
                <w:spacing w:val="-2"/>
              </w:rPr>
              <w:t>aproximadamente.</w:t>
            </w:r>
          </w:p>
        </w:tc>
        <w:tc>
          <w:tcPr>
            <w:tcW w:w="550" w:type="pct"/>
            <w:vAlign w:val="center"/>
          </w:tcPr>
          <w:p>
            <w:pPr>
              <w:spacing w:after="0" w:line="240" w:lineRule="auto"/>
              <w:jc w:val="center"/>
              <w:rPr>
                <w:rFonts w:cstheme="minorHAnsi"/>
                <w:sz w:val="16"/>
                <w:szCs w:val="16"/>
              </w:rPr>
            </w:pPr>
          </w:p>
        </w:tc>
        <w:tc>
          <w:tcPr>
            <w:tcW w:w="390" w:type="pct"/>
            <w:vAlign w:val="center"/>
          </w:tcPr>
          <w:p>
            <w:pPr>
              <w:spacing w:after="0" w:line="240" w:lineRule="auto"/>
              <w:jc w:val="center"/>
              <w:rPr>
                <w:rFonts w:cstheme="minorHAnsi"/>
              </w:rPr>
            </w:pPr>
            <w:r>
              <w:rPr>
                <w:rFonts w:cstheme="minorHAnsi"/>
              </w:rPr>
              <w:t>UNID</w:t>
            </w:r>
          </w:p>
        </w:tc>
        <w:tc>
          <w:tcPr>
            <w:tcW w:w="494" w:type="pct"/>
            <w:vAlign w:val="center"/>
          </w:tcPr>
          <w:p>
            <w:pPr>
              <w:spacing w:after="0" w:line="240" w:lineRule="auto"/>
              <w:jc w:val="center"/>
              <w:rPr>
                <w:rFonts w:cstheme="minorHAnsi"/>
              </w:rPr>
            </w:pPr>
            <w:r>
              <w:rPr>
                <w:rFonts w:cstheme="minorHAnsi"/>
              </w:rPr>
              <w:t>6</w:t>
            </w:r>
          </w:p>
        </w:tc>
        <w:tc>
          <w:tcPr>
            <w:tcW w:w="543" w:type="pct"/>
            <w:vAlign w:val="center"/>
          </w:tcPr>
          <w:p>
            <w:pPr>
              <w:spacing w:after="0" w:line="240" w:lineRule="auto"/>
              <w:jc w:val="center"/>
              <w:rPr>
                <w:rFonts w:cstheme="minorHAnsi"/>
                <w:sz w:val="20"/>
                <w:szCs w:val="20"/>
                <w:highlight w:val="yellow"/>
              </w:rPr>
            </w:pPr>
          </w:p>
        </w:tc>
        <w:tc>
          <w:tcPr>
            <w:tcW w:w="480" w:type="pct"/>
            <w:vAlign w:val="center"/>
          </w:tcPr>
          <w:p>
            <w:pPr>
              <w:spacing w:after="0" w:line="240" w:lineRule="auto"/>
              <w:jc w:val="center"/>
              <w:rPr>
                <w:rFonts w:ascii="Arial" w:hAnsi="Arial" w:cs="Arial"/>
                <w:lang w:eastAsia="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519" w:type="pct"/>
            <w:gridSpan w:val="6"/>
            <w:vAlign w:val="center"/>
          </w:tcPr>
          <w:p>
            <w:pPr>
              <w:spacing w:after="0" w:line="240" w:lineRule="auto"/>
              <w:jc w:val="right"/>
              <w:rPr>
                <w:color w:val="000000"/>
                <w:sz w:val="20"/>
                <w:szCs w:val="20"/>
              </w:rPr>
            </w:pPr>
            <w:r>
              <w:rPr>
                <w:color w:val="000000"/>
                <w:sz w:val="20"/>
                <w:szCs w:val="20"/>
              </w:rPr>
              <w:t>Subtotal Lote 2</w:t>
            </w:r>
          </w:p>
        </w:tc>
        <w:tc>
          <w:tcPr>
            <w:tcW w:w="480" w:type="pct"/>
            <w:vAlign w:val="center"/>
          </w:tcPr>
          <w:p>
            <w:pPr>
              <w:spacing w:after="0" w:line="240" w:lineRule="auto"/>
              <w:jc w:val="center"/>
              <w:rPr>
                <w:color w:val="000000"/>
                <w:sz w:val="20"/>
                <w:szCs w:val="20"/>
                <w:lang w:eastAsia="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000" w:type="pct"/>
            <w:gridSpan w:val="7"/>
            <w:shd w:val="clear" w:color="auto" w:fill="D9D9D9"/>
            <w:vAlign w:val="center"/>
          </w:tcPr>
          <w:p>
            <w:pPr>
              <w:spacing w:after="0" w:line="240" w:lineRule="auto"/>
              <w:jc w:val="center"/>
              <w:rPr>
                <w:rFonts w:cstheme="minorHAnsi"/>
                <w:sz w:val="24"/>
                <w:szCs w:val="20"/>
              </w:rPr>
            </w:pPr>
            <w:r>
              <w:rPr>
                <w:b/>
                <w:sz w:val="24"/>
                <w:szCs w:val="20"/>
              </w:rPr>
              <w:t>LOTE</w:t>
            </w:r>
            <w:r>
              <w:rPr>
                <w:b/>
                <w:spacing w:val="-8"/>
                <w:sz w:val="24"/>
                <w:szCs w:val="20"/>
              </w:rPr>
              <w:t xml:space="preserve"> </w:t>
            </w:r>
            <w:r>
              <w:rPr>
                <w:b/>
                <w:sz w:val="24"/>
                <w:szCs w:val="20"/>
              </w:rPr>
              <w:t>03:</w:t>
            </w:r>
            <w:r>
              <w:rPr>
                <w:b/>
                <w:spacing w:val="-5"/>
                <w:sz w:val="24"/>
                <w:szCs w:val="20"/>
              </w:rPr>
              <w:t xml:space="preserve"> </w:t>
            </w:r>
            <w:r>
              <w:rPr>
                <w:b/>
                <w:sz w:val="24"/>
                <w:szCs w:val="20"/>
              </w:rPr>
              <w:t>LICITAÇÃO</w:t>
            </w:r>
            <w:r>
              <w:rPr>
                <w:b/>
                <w:spacing w:val="-5"/>
                <w:sz w:val="24"/>
                <w:szCs w:val="20"/>
              </w:rPr>
              <w:t xml:space="preserve"> </w:t>
            </w:r>
            <w:r>
              <w:rPr>
                <w:b/>
                <w:sz w:val="24"/>
                <w:szCs w:val="20"/>
              </w:rPr>
              <w:t>GLOBAL</w:t>
            </w:r>
            <w:r>
              <w:rPr>
                <w:b/>
                <w:spacing w:val="-5"/>
                <w:sz w:val="24"/>
                <w:szCs w:val="20"/>
              </w:rPr>
              <w:t xml:space="preserve"> </w:t>
            </w:r>
            <w:r>
              <w:rPr>
                <w:b/>
                <w:sz w:val="24"/>
                <w:szCs w:val="20"/>
              </w:rPr>
              <w:t>POR</w:t>
            </w:r>
            <w:r>
              <w:rPr>
                <w:b/>
                <w:spacing w:val="-5"/>
                <w:sz w:val="24"/>
                <w:szCs w:val="20"/>
              </w:rPr>
              <w:t xml:space="preserve"> </w:t>
            </w:r>
            <w:r>
              <w:rPr>
                <w:b/>
                <w:sz w:val="24"/>
                <w:szCs w:val="20"/>
              </w:rPr>
              <w:t>DEPENDÊNCIA</w:t>
            </w:r>
            <w:r>
              <w:rPr>
                <w:b/>
                <w:spacing w:val="-4"/>
                <w:sz w:val="24"/>
                <w:szCs w:val="20"/>
              </w:rPr>
              <w:t xml:space="preserve"> </w:t>
            </w:r>
            <w:r>
              <w:rPr>
                <w:b/>
                <w:sz w:val="24"/>
                <w:szCs w:val="20"/>
              </w:rPr>
              <w:t>TÉCNICA</w:t>
            </w:r>
            <w:r>
              <w:rPr>
                <w:b/>
                <w:spacing w:val="-4"/>
                <w:sz w:val="24"/>
                <w:szCs w:val="20"/>
              </w:rPr>
              <w:t xml:space="preserve"> </w:t>
            </w:r>
            <w:r>
              <w:rPr>
                <w:b/>
                <w:sz w:val="24"/>
                <w:szCs w:val="20"/>
              </w:rPr>
              <w:t>E</w:t>
            </w:r>
            <w:r>
              <w:rPr>
                <w:b/>
                <w:spacing w:val="-5"/>
                <w:sz w:val="24"/>
                <w:szCs w:val="20"/>
              </w:rPr>
              <w:t xml:space="preserve"> </w:t>
            </w:r>
            <w:r>
              <w:rPr>
                <w:b/>
                <w:sz w:val="24"/>
                <w:szCs w:val="20"/>
              </w:rPr>
              <w:t>COMPATIBILIDADE</w:t>
            </w:r>
            <w:r>
              <w:rPr>
                <w:b/>
                <w:spacing w:val="-3"/>
                <w:sz w:val="24"/>
                <w:szCs w:val="20"/>
              </w:rPr>
              <w:t xml:space="preserve"> </w:t>
            </w:r>
            <w:r>
              <w:rPr>
                <w:b/>
                <w:spacing w:val="-2"/>
                <w:sz w:val="24"/>
                <w:szCs w:val="20"/>
              </w:rPr>
              <w:t>OPERACIONAL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69" w:type="pct"/>
            <w:vAlign w:val="center"/>
          </w:tcPr>
          <w:p>
            <w:pPr>
              <w:spacing w:after="0" w:line="240" w:lineRule="auto"/>
              <w:jc w:val="center"/>
              <w:rPr>
                <w:b/>
                <w:bCs/>
                <w:sz w:val="20"/>
                <w:szCs w:val="20"/>
              </w:rPr>
            </w:pPr>
            <w:r>
              <w:rPr>
                <w:b/>
                <w:bCs/>
                <w:sz w:val="20"/>
                <w:szCs w:val="20"/>
              </w:rPr>
              <w:t>29</w:t>
            </w:r>
          </w:p>
        </w:tc>
        <w:tc>
          <w:tcPr>
            <w:tcW w:w="2172" w:type="pct"/>
          </w:tcPr>
          <w:p>
            <w:pPr>
              <w:pStyle w:val="39"/>
              <w:ind w:right="121"/>
              <w:jc w:val="both"/>
              <w:rPr>
                <w:b/>
              </w:rPr>
            </w:pPr>
            <w:r>
              <w:t>BOMBA A VÁCUO - Bomba a vácuo com capa para</w:t>
            </w:r>
            <w:r>
              <w:rPr>
                <w:spacing w:val="-4"/>
              </w:rPr>
              <w:t xml:space="preserve"> </w:t>
            </w:r>
            <w:r>
              <w:t>a</w:t>
            </w:r>
            <w:r>
              <w:rPr>
                <w:spacing w:val="-4"/>
              </w:rPr>
              <w:t xml:space="preserve"> </w:t>
            </w:r>
            <w:r>
              <w:t>realização</w:t>
            </w:r>
            <w:r>
              <w:rPr>
                <w:spacing w:val="-3"/>
              </w:rPr>
              <w:t xml:space="preserve"> </w:t>
            </w:r>
            <w:r>
              <w:t>de</w:t>
            </w:r>
            <w:r>
              <w:rPr>
                <w:spacing w:val="-6"/>
              </w:rPr>
              <w:t xml:space="preserve"> </w:t>
            </w:r>
            <w:r>
              <w:t>cirurgias</w:t>
            </w:r>
            <w:r>
              <w:rPr>
                <w:spacing w:val="-4"/>
              </w:rPr>
              <w:t xml:space="preserve"> </w:t>
            </w:r>
            <w:r>
              <w:t>que</w:t>
            </w:r>
            <w:r>
              <w:rPr>
                <w:spacing w:val="-4"/>
              </w:rPr>
              <w:t xml:space="preserve"> </w:t>
            </w:r>
            <w:r>
              <w:t>atenda</w:t>
            </w:r>
            <w:r>
              <w:rPr>
                <w:spacing w:val="-4"/>
              </w:rPr>
              <w:t xml:space="preserve"> </w:t>
            </w:r>
            <w:r>
              <w:t>de</w:t>
            </w:r>
            <w:r>
              <w:rPr>
                <w:spacing w:val="-6"/>
              </w:rPr>
              <w:t xml:space="preserve"> </w:t>
            </w:r>
            <w:r>
              <w:t>2</w:t>
            </w:r>
            <w:r>
              <w:rPr>
                <w:spacing w:val="-4"/>
              </w:rPr>
              <w:t xml:space="preserve"> </w:t>
            </w:r>
            <w:r>
              <w:t>a</w:t>
            </w:r>
            <w:r>
              <w:rPr>
                <w:spacing w:val="-6"/>
              </w:rPr>
              <w:t xml:space="preserve"> </w:t>
            </w:r>
            <w:r>
              <w:t>4 consultórios. Sem gabinete acústico, com rotor de</w:t>
            </w:r>
            <w:r>
              <w:rPr>
                <w:spacing w:val="-2"/>
              </w:rPr>
              <w:t xml:space="preserve"> </w:t>
            </w:r>
            <w:r>
              <w:t>bronze,</w:t>
            </w:r>
            <w:r>
              <w:rPr>
                <w:spacing w:val="-4"/>
              </w:rPr>
              <w:t xml:space="preserve"> </w:t>
            </w:r>
            <w:r>
              <w:t>com</w:t>
            </w:r>
            <w:r>
              <w:rPr>
                <w:spacing w:val="-3"/>
              </w:rPr>
              <w:t xml:space="preserve"> </w:t>
            </w:r>
            <w:r>
              <w:t>entrada</w:t>
            </w:r>
            <w:r>
              <w:rPr>
                <w:spacing w:val="-2"/>
              </w:rPr>
              <w:t xml:space="preserve"> </w:t>
            </w:r>
            <w:r>
              <w:t>de</w:t>
            </w:r>
            <w:r>
              <w:rPr>
                <w:spacing w:val="-5"/>
              </w:rPr>
              <w:t xml:space="preserve"> </w:t>
            </w:r>
            <w:r>
              <w:t>água,</w:t>
            </w:r>
            <w:r>
              <w:rPr>
                <w:spacing w:val="-2"/>
              </w:rPr>
              <w:t xml:space="preserve"> </w:t>
            </w:r>
            <w:r>
              <w:t>saída</w:t>
            </w:r>
            <w:r>
              <w:rPr>
                <w:spacing w:val="-2"/>
              </w:rPr>
              <w:t xml:space="preserve"> </w:t>
            </w:r>
            <w:r>
              <w:t>de</w:t>
            </w:r>
            <w:r>
              <w:rPr>
                <w:spacing w:val="-4"/>
              </w:rPr>
              <w:t xml:space="preserve"> </w:t>
            </w:r>
            <w:r>
              <w:t>esgoto direto na rede (sem a necessidade de reservatório de resíduos), bivolt ou 220 volts. Potência mínima: 1HP. Baixo nível de ruído. Vácuo máximo 550mmhg / 17,62Inhg. Rotações do motor (RPM) 3450 – 60 Hz (aproximadamente). Garantia mínima de 12 meses. Com registro ANVISA. Marca de referência:</w:t>
            </w:r>
            <w:r>
              <w:rPr>
                <w:spacing w:val="-7"/>
              </w:rPr>
              <w:t xml:space="preserve"> </w:t>
            </w:r>
            <w:r>
              <w:t>Kavo,</w:t>
            </w:r>
            <w:r>
              <w:rPr>
                <w:spacing w:val="-6"/>
              </w:rPr>
              <w:t xml:space="preserve"> </w:t>
            </w:r>
            <w:r>
              <w:t>Schuster</w:t>
            </w:r>
            <w:r>
              <w:rPr>
                <w:spacing w:val="-7"/>
              </w:rPr>
              <w:t xml:space="preserve"> </w:t>
            </w:r>
            <w:r>
              <w:t>ou</w:t>
            </w:r>
            <w:r>
              <w:rPr>
                <w:spacing w:val="-7"/>
              </w:rPr>
              <w:t xml:space="preserve"> </w:t>
            </w:r>
            <w:r>
              <w:t>similar.</w:t>
            </w:r>
            <w:r>
              <w:rPr>
                <w:spacing w:val="-7"/>
              </w:rPr>
              <w:t xml:space="preserve"> </w:t>
            </w:r>
            <w:r>
              <w:t>Deve</w:t>
            </w:r>
            <w:r>
              <w:rPr>
                <w:spacing w:val="-6"/>
              </w:rPr>
              <w:t xml:space="preserve"> </w:t>
            </w:r>
            <w:r>
              <w:t>ser compatível</w:t>
            </w:r>
            <w:r>
              <w:rPr>
                <w:spacing w:val="-4"/>
              </w:rPr>
              <w:t xml:space="preserve"> </w:t>
            </w:r>
            <w:r>
              <w:t>com</w:t>
            </w:r>
            <w:r>
              <w:rPr>
                <w:spacing w:val="-3"/>
              </w:rPr>
              <w:t xml:space="preserve"> </w:t>
            </w:r>
            <w:r>
              <w:t>o</w:t>
            </w:r>
            <w:r>
              <w:rPr>
                <w:spacing w:val="-3"/>
              </w:rPr>
              <w:t xml:space="preserve"> </w:t>
            </w:r>
            <w:r>
              <w:t>item</w:t>
            </w:r>
            <w:r>
              <w:rPr>
                <w:spacing w:val="-3"/>
              </w:rPr>
              <w:t xml:space="preserve"> </w:t>
            </w:r>
            <w:r>
              <w:t>“KIT</w:t>
            </w:r>
            <w:r>
              <w:rPr>
                <w:spacing w:val="-3"/>
              </w:rPr>
              <w:t xml:space="preserve"> </w:t>
            </w:r>
            <w:r>
              <w:rPr>
                <w:spacing w:val="-2"/>
              </w:rPr>
              <w:t>SUCTOR”.</w:t>
            </w:r>
          </w:p>
        </w:tc>
        <w:tc>
          <w:tcPr>
            <w:tcW w:w="550" w:type="pct"/>
            <w:vAlign w:val="center"/>
          </w:tcPr>
          <w:p>
            <w:pPr>
              <w:spacing w:after="0" w:line="240" w:lineRule="auto"/>
              <w:jc w:val="center"/>
              <w:rPr>
                <w:rFonts w:cstheme="minorHAnsi"/>
                <w:sz w:val="16"/>
                <w:szCs w:val="16"/>
              </w:rPr>
            </w:pPr>
          </w:p>
        </w:tc>
        <w:tc>
          <w:tcPr>
            <w:tcW w:w="390" w:type="pct"/>
            <w:vAlign w:val="center"/>
          </w:tcPr>
          <w:p>
            <w:pPr>
              <w:spacing w:after="0" w:line="240" w:lineRule="auto"/>
              <w:jc w:val="center"/>
              <w:rPr>
                <w:rFonts w:cstheme="minorHAnsi"/>
              </w:rPr>
            </w:pPr>
            <w:r>
              <w:rPr>
                <w:rFonts w:cstheme="minorHAnsi"/>
              </w:rPr>
              <w:t>UNID</w:t>
            </w:r>
          </w:p>
        </w:tc>
        <w:tc>
          <w:tcPr>
            <w:tcW w:w="494" w:type="pct"/>
            <w:vAlign w:val="center"/>
          </w:tcPr>
          <w:p>
            <w:pPr>
              <w:spacing w:after="0" w:line="240" w:lineRule="auto"/>
              <w:jc w:val="center"/>
              <w:rPr>
                <w:rFonts w:cstheme="minorHAnsi"/>
              </w:rPr>
            </w:pPr>
            <w:r>
              <w:rPr>
                <w:rFonts w:cstheme="minorHAnsi"/>
              </w:rPr>
              <w:t>6</w:t>
            </w:r>
          </w:p>
        </w:tc>
        <w:tc>
          <w:tcPr>
            <w:tcW w:w="543" w:type="pct"/>
            <w:vAlign w:val="center"/>
          </w:tcPr>
          <w:p>
            <w:pPr>
              <w:spacing w:after="0" w:line="240" w:lineRule="auto"/>
              <w:jc w:val="center"/>
              <w:rPr>
                <w:rFonts w:cstheme="minorHAnsi"/>
                <w:sz w:val="16"/>
                <w:szCs w:val="16"/>
                <w:highlight w:val="yellow"/>
              </w:rPr>
            </w:pPr>
          </w:p>
        </w:tc>
        <w:tc>
          <w:tcPr>
            <w:tcW w:w="480" w:type="pct"/>
            <w:vAlign w:val="center"/>
          </w:tcPr>
          <w:p>
            <w:pPr>
              <w:spacing w:after="0" w:line="240" w:lineRule="auto"/>
              <w:jc w:val="center"/>
              <w:rPr>
                <w:rFonts w:cstheme="minorHAns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4" w:hRule="atLeast"/>
        </w:trPr>
        <w:tc>
          <w:tcPr>
            <w:tcW w:w="369" w:type="pct"/>
            <w:vAlign w:val="center"/>
          </w:tcPr>
          <w:p>
            <w:pPr>
              <w:spacing w:after="0" w:line="240" w:lineRule="auto"/>
              <w:jc w:val="center"/>
              <w:rPr>
                <w:b/>
                <w:bCs/>
                <w:sz w:val="20"/>
                <w:szCs w:val="20"/>
              </w:rPr>
            </w:pPr>
            <w:r>
              <w:rPr>
                <w:b/>
                <w:bCs/>
                <w:sz w:val="20"/>
                <w:szCs w:val="20"/>
              </w:rPr>
              <w:t>30</w:t>
            </w:r>
          </w:p>
        </w:tc>
        <w:tc>
          <w:tcPr>
            <w:tcW w:w="2172" w:type="pct"/>
            <w:vAlign w:val="center"/>
          </w:tcPr>
          <w:p>
            <w:pPr>
              <w:pStyle w:val="39"/>
              <w:ind w:right="118"/>
              <w:jc w:val="both"/>
            </w:pPr>
            <w:r>
              <w:t>KIT SUCTOR - kit suctor para bomba a vácuo com duas pontas de aspiração com regulador de</w:t>
            </w:r>
            <w:r>
              <w:rPr>
                <w:spacing w:val="40"/>
              </w:rPr>
              <w:t xml:space="preserve"> </w:t>
            </w:r>
            <w:r>
              <w:t>fluxo,</w:t>
            </w:r>
            <w:r>
              <w:rPr>
                <w:spacing w:val="-4"/>
              </w:rPr>
              <w:t xml:space="preserve"> </w:t>
            </w:r>
            <w:r>
              <w:t>sucção</w:t>
            </w:r>
            <w:r>
              <w:rPr>
                <w:spacing w:val="-6"/>
              </w:rPr>
              <w:t xml:space="preserve"> </w:t>
            </w:r>
            <w:r>
              <w:t>mangueira</w:t>
            </w:r>
            <w:r>
              <w:rPr>
                <w:spacing w:val="-4"/>
              </w:rPr>
              <w:t xml:space="preserve"> </w:t>
            </w:r>
            <w:r>
              <w:t>10mm</w:t>
            </w:r>
            <w:r>
              <w:rPr>
                <w:spacing w:val="-3"/>
              </w:rPr>
              <w:t xml:space="preserve"> </w:t>
            </w:r>
            <w:r>
              <w:t>e</w:t>
            </w:r>
            <w:r>
              <w:rPr>
                <w:spacing w:val="-4"/>
              </w:rPr>
              <w:t xml:space="preserve"> </w:t>
            </w:r>
            <w:r>
              <w:t>braçadeira</w:t>
            </w:r>
            <w:r>
              <w:rPr>
                <w:spacing w:val="-4"/>
              </w:rPr>
              <w:t xml:space="preserve"> </w:t>
            </w:r>
            <w:r>
              <w:t>para fixação</w:t>
            </w:r>
            <w:r>
              <w:rPr>
                <w:spacing w:val="-7"/>
              </w:rPr>
              <w:t xml:space="preserve"> </w:t>
            </w:r>
            <w:r>
              <w:t>na</w:t>
            </w:r>
            <w:r>
              <w:rPr>
                <w:spacing w:val="-5"/>
              </w:rPr>
              <w:t xml:space="preserve"> </w:t>
            </w:r>
            <w:r>
              <w:t>coluna</w:t>
            </w:r>
            <w:r>
              <w:rPr>
                <w:spacing w:val="-5"/>
              </w:rPr>
              <w:t xml:space="preserve"> </w:t>
            </w:r>
            <w:r>
              <w:t>do</w:t>
            </w:r>
            <w:r>
              <w:rPr>
                <w:spacing w:val="-7"/>
              </w:rPr>
              <w:t xml:space="preserve"> </w:t>
            </w:r>
            <w:r>
              <w:t>refletor</w:t>
            </w:r>
            <w:r>
              <w:rPr>
                <w:spacing w:val="-7"/>
              </w:rPr>
              <w:t xml:space="preserve"> </w:t>
            </w:r>
            <w:r>
              <w:t>odontológico</w:t>
            </w:r>
            <w:r>
              <w:rPr>
                <w:spacing w:val="-7"/>
              </w:rPr>
              <w:t xml:space="preserve"> </w:t>
            </w:r>
            <w:r>
              <w:t>e</w:t>
            </w:r>
            <w:r>
              <w:rPr>
                <w:spacing w:val="-5"/>
              </w:rPr>
              <w:t xml:space="preserve"> </w:t>
            </w:r>
            <w:r>
              <w:t>tubo corrugado ¾ para ligação na rede de esgoto e micro interruptor de comando elétrico. Deve ser</w:t>
            </w:r>
          </w:p>
          <w:p>
            <w:pPr>
              <w:pStyle w:val="39"/>
              <w:spacing w:line="268" w:lineRule="exact"/>
              <w:jc w:val="both"/>
              <w:rPr>
                <w:b/>
              </w:rPr>
            </w:pPr>
            <w:r>
              <w:t>compatível</w:t>
            </w:r>
            <w:r>
              <w:rPr>
                <w:spacing w:val="-3"/>
              </w:rPr>
              <w:t xml:space="preserve"> </w:t>
            </w:r>
            <w:r>
              <w:t>com</w:t>
            </w:r>
            <w:r>
              <w:rPr>
                <w:spacing w:val="-4"/>
              </w:rPr>
              <w:t xml:space="preserve"> </w:t>
            </w:r>
            <w:r>
              <w:t>o</w:t>
            </w:r>
            <w:r>
              <w:rPr>
                <w:spacing w:val="-2"/>
              </w:rPr>
              <w:t xml:space="preserve"> </w:t>
            </w:r>
            <w:r>
              <w:t>item</w:t>
            </w:r>
            <w:r>
              <w:rPr>
                <w:spacing w:val="-3"/>
              </w:rPr>
              <w:t xml:space="preserve"> </w:t>
            </w:r>
            <w:r>
              <w:t>“BOMBA</w:t>
            </w:r>
            <w:r>
              <w:rPr>
                <w:spacing w:val="-4"/>
              </w:rPr>
              <w:t xml:space="preserve"> </w:t>
            </w:r>
            <w:r>
              <w:t>A</w:t>
            </w:r>
            <w:r>
              <w:rPr>
                <w:spacing w:val="-2"/>
              </w:rPr>
              <w:t xml:space="preserve"> VÀCUO”.</w:t>
            </w:r>
          </w:p>
        </w:tc>
        <w:tc>
          <w:tcPr>
            <w:tcW w:w="550" w:type="pct"/>
            <w:vAlign w:val="center"/>
          </w:tcPr>
          <w:p>
            <w:pPr>
              <w:spacing w:after="0" w:line="240" w:lineRule="auto"/>
              <w:jc w:val="center"/>
              <w:rPr>
                <w:rFonts w:cstheme="minorHAnsi"/>
                <w:sz w:val="16"/>
                <w:szCs w:val="16"/>
              </w:rPr>
            </w:pPr>
          </w:p>
        </w:tc>
        <w:tc>
          <w:tcPr>
            <w:tcW w:w="390" w:type="pct"/>
            <w:vAlign w:val="center"/>
          </w:tcPr>
          <w:p>
            <w:pPr>
              <w:spacing w:after="0" w:line="240" w:lineRule="auto"/>
              <w:jc w:val="center"/>
              <w:rPr>
                <w:rFonts w:cstheme="minorHAnsi"/>
              </w:rPr>
            </w:pPr>
            <w:r>
              <w:rPr>
                <w:rFonts w:cstheme="minorHAnsi"/>
              </w:rPr>
              <w:t>UNID</w:t>
            </w:r>
          </w:p>
        </w:tc>
        <w:tc>
          <w:tcPr>
            <w:tcW w:w="494" w:type="pct"/>
            <w:vAlign w:val="center"/>
          </w:tcPr>
          <w:p>
            <w:pPr>
              <w:spacing w:after="0" w:line="240" w:lineRule="auto"/>
              <w:jc w:val="center"/>
              <w:rPr>
                <w:rFonts w:cstheme="minorHAnsi"/>
              </w:rPr>
            </w:pPr>
            <w:r>
              <w:rPr>
                <w:rFonts w:cstheme="minorHAnsi"/>
              </w:rPr>
              <w:t>12</w:t>
            </w:r>
          </w:p>
        </w:tc>
        <w:tc>
          <w:tcPr>
            <w:tcW w:w="543" w:type="pct"/>
            <w:vAlign w:val="center"/>
          </w:tcPr>
          <w:p>
            <w:pPr>
              <w:spacing w:after="0" w:line="240" w:lineRule="auto"/>
              <w:jc w:val="center"/>
              <w:rPr>
                <w:rFonts w:cstheme="minorHAnsi"/>
                <w:sz w:val="16"/>
                <w:szCs w:val="16"/>
                <w:highlight w:val="yellow"/>
              </w:rPr>
            </w:pPr>
          </w:p>
        </w:tc>
        <w:tc>
          <w:tcPr>
            <w:tcW w:w="480" w:type="pct"/>
            <w:vAlign w:val="center"/>
          </w:tcPr>
          <w:p>
            <w:pPr>
              <w:spacing w:after="0" w:line="240" w:lineRule="auto"/>
              <w:jc w:val="center"/>
              <w:rPr>
                <w:rFonts w:cstheme="minorHAns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519" w:type="pct"/>
            <w:gridSpan w:val="6"/>
            <w:vAlign w:val="center"/>
          </w:tcPr>
          <w:p>
            <w:pPr>
              <w:spacing w:after="0" w:line="240" w:lineRule="auto"/>
              <w:jc w:val="right"/>
              <w:rPr>
                <w:color w:val="000000"/>
                <w:sz w:val="20"/>
                <w:szCs w:val="20"/>
              </w:rPr>
            </w:pPr>
            <w:r>
              <w:rPr>
                <w:color w:val="000000"/>
                <w:sz w:val="20"/>
                <w:szCs w:val="20"/>
              </w:rPr>
              <w:t>Subtotal Lote 3</w:t>
            </w:r>
          </w:p>
        </w:tc>
        <w:tc>
          <w:tcPr>
            <w:tcW w:w="480" w:type="pct"/>
            <w:vAlign w:val="center"/>
          </w:tcPr>
          <w:p>
            <w:pPr>
              <w:spacing w:after="0" w:line="240" w:lineRule="auto"/>
              <w:jc w:val="center"/>
              <w:rPr>
                <w:color w:val="000000"/>
                <w:sz w:val="20"/>
                <w:szCs w:val="20"/>
                <w:lang w:eastAsia="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519" w:type="pct"/>
            <w:gridSpan w:val="6"/>
            <w:vAlign w:val="center"/>
          </w:tcPr>
          <w:p>
            <w:pPr>
              <w:spacing w:after="0" w:line="240" w:lineRule="auto"/>
              <w:jc w:val="right"/>
              <w:rPr>
                <w:color w:val="000000"/>
                <w:sz w:val="20"/>
                <w:szCs w:val="20"/>
              </w:rPr>
            </w:pPr>
            <w:r>
              <w:rPr>
                <w:color w:val="000000"/>
                <w:sz w:val="20"/>
                <w:szCs w:val="20"/>
              </w:rPr>
              <w:t>TOTAL DOS LOTES:</w:t>
            </w:r>
          </w:p>
        </w:tc>
        <w:tc>
          <w:tcPr>
            <w:tcW w:w="480" w:type="pct"/>
            <w:vAlign w:val="center"/>
          </w:tcPr>
          <w:p>
            <w:pPr>
              <w:spacing w:after="0" w:line="240" w:lineRule="auto"/>
              <w:jc w:val="right"/>
              <w:rPr>
                <w:b/>
                <w:bCs/>
                <w:color w:val="000000"/>
                <w:sz w:val="20"/>
                <w:szCs w:val="20"/>
                <w:lang w:eastAsia="pt-BR"/>
              </w:rPr>
            </w:pPr>
          </w:p>
        </w:tc>
      </w:tr>
    </w:tbl>
    <w:p>
      <w:pPr>
        <w:rPr>
          <w:rFonts w:ascii="Azo Sans Lt" w:hAnsi="Azo Sans Lt" w:cstheme="minorHAnsi"/>
          <w:b/>
          <w:sz w:val="22"/>
        </w:rPr>
      </w:pPr>
    </w:p>
    <w:p>
      <w:pPr>
        <w:rPr>
          <w:rFonts w:ascii="Azo Sans Lt" w:hAnsi="Azo Sans Lt" w:cstheme="minorHAnsi"/>
          <w:b/>
          <w:sz w:val="22"/>
        </w:rPr>
      </w:pPr>
      <w:r>
        <w:rPr>
          <w:rFonts w:ascii="Azo Sans Lt" w:hAnsi="Azo Sans Lt" w:cstheme="minorHAnsi"/>
          <w:b/>
          <w:sz w:val="22"/>
        </w:rPr>
        <w:t>Informar Valor total R$...</w:t>
      </w:r>
    </w:p>
    <w:p>
      <w:pPr>
        <w:rPr>
          <w:rFonts w:ascii="Azo Sans Lt" w:hAnsi="Azo Sans Lt" w:cstheme="minorHAnsi"/>
          <w:b/>
          <w:sz w:val="22"/>
        </w:rPr>
      </w:pPr>
      <w:r>
        <w:rPr>
          <w:rFonts w:ascii="Azo Sans Lt" w:hAnsi="Azo Sans Lt" w:cstheme="minorHAnsi"/>
          <w:b/>
          <w:sz w:val="22"/>
        </w:rPr>
        <w:t>Dados bancários:</w:t>
      </w:r>
    </w:p>
    <w:p>
      <w:pPr>
        <w:rPr>
          <w:rFonts w:ascii="Azo Sans Lt" w:hAnsi="Azo Sans Lt" w:cstheme="minorHAnsi"/>
          <w:b/>
          <w:sz w:val="22"/>
        </w:rPr>
      </w:pPr>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90"/>
        <w:gridCol w:w="3109"/>
        <w:gridCol w:w="3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pct"/>
          </w:tcPr>
          <w:p>
            <w:pPr>
              <w:ind w:left="0" w:firstLine="0"/>
              <w:rPr>
                <w:rFonts w:ascii="Azo Sans Lt" w:hAnsi="Azo Sans Lt" w:cstheme="minorHAnsi"/>
                <w:b/>
                <w:sz w:val="22"/>
              </w:rPr>
            </w:pPr>
            <w:r>
              <w:rPr>
                <w:rFonts w:ascii="Azo Sans Lt" w:hAnsi="Azo Sans Lt" w:cstheme="minorHAnsi"/>
                <w:b/>
                <w:sz w:val="22"/>
              </w:rPr>
              <w:t>Banco:</w:t>
            </w:r>
          </w:p>
        </w:tc>
        <w:tc>
          <w:tcPr>
            <w:tcW w:w="1674" w:type="pct"/>
          </w:tcPr>
          <w:p>
            <w:pPr>
              <w:ind w:left="0" w:firstLine="0"/>
              <w:rPr>
                <w:rFonts w:ascii="Azo Sans Lt" w:hAnsi="Azo Sans Lt" w:cstheme="minorHAnsi"/>
                <w:b/>
                <w:sz w:val="22"/>
              </w:rPr>
            </w:pPr>
            <w:r>
              <w:rPr>
                <w:rFonts w:ascii="Azo Sans Lt" w:hAnsi="Azo Sans Lt" w:cstheme="minorHAnsi"/>
                <w:b/>
                <w:sz w:val="22"/>
              </w:rPr>
              <w:t>Agência:</w:t>
            </w:r>
          </w:p>
        </w:tc>
        <w:tc>
          <w:tcPr>
            <w:tcW w:w="1662" w:type="pct"/>
          </w:tcPr>
          <w:p>
            <w:pPr>
              <w:ind w:left="0" w:firstLine="0"/>
              <w:rPr>
                <w:rFonts w:ascii="Azo Sans Lt" w:hAnsi="Azo Sans Lt" w:cstheme="minorHAnsi"/>
                <w:b/>
                <w:sz w:val="22"/>
              </w:rPr>
            </w:pPr>
            <w:r>
              <w:rPr>
                <w:rFonts w:ascii="Azo Sans Lt" w:hAnsi="Azo Sans Lt" w:cstheme="minorHAnsi"/>
                <w:b/>
                <w:sz w:val="22"/>
              </w:rPr>
              <w:t>Conta:</w:t>
            </w:r>
          </w:p>
        </w:tc>
      </w:tr>
    </w:tbl>
    <w:p>
      <w:pPr>
        <w:rPr>
          <w:rFonts w:ascii="Azo Sans Lt" w:hAnsi="Azo Sans Lt" w:cstheme="minorHAnsi"/>
          <w:sz w:val="22"/>
        </w:rPr>
      </w:pPr>
    </w:p>
    <w:p>
      <w:pPr>
        <w:pStyle w:val="12"/>
        <w:ind w:left="0" w:firstLine="0"/>
        <w:rPr>
          <w:rFonts w:ascii="Azo Sans Md" w:hAnsi="Azo Sans Md" w:cstheme="minorHAnsi"/>
          <w:b/>
          <w:bCs/>
          <w:sz w:val="22"/>
          <w:szCs w:val="22"/>
        </w:rPr>
      </w:pPr>
      <w:r>
        <w:rPr>
          <w:rFonts w:ascii="Azo Sans Lt" w:hAnsi="Azo Sans Lt" w:cstheme="minorHAnsi"/>
          <w:sz w:val="22"/>
        </w:rPr>
        <w:t xml:space="preserve">A validade desta proposta é de </w:t>
      </w:r>
      <w:r>
        <w:rPr>
          <w:rFonts w:ascii="Azo Sans Md" w:hAnsi="Azo Sans Md" w:cstheme="minorHAnsi"/>
          <w:b/>
          <w:bCs/>
          <w:sz w:val="22"/>
          <w:szCs w:val="22"/>
        </w:rPr>
        <w:t xml:space="preserve">90 (noventa) dias </w:t>
      </w:r>
      <w:r>
        <w:rPr>
          <w:rFonts w:ascii="Azo Sans Lt" w:hAnsi="Azo Sans Lt" w:cstheme="minorHAnsi"/>
          <w:b/>
          <w:sz w:val="22"/>
        </w:rPr>
        <w:t>corridos</w:t>
      </w:r>
      <w:r>
        <w:rPr>
          <w:rFonts w:ascii="Azo Sans Lt" w:hAnsi="Azo Sans Lt" w:cstheme="minorHAnsi"/>
          <w:sz w:val="22"/>
        </w:rPr>
        <w:t>, contados da data da abertura da sessão pública de</w:t>
      </w:r>
      <w:r>
        <w:rPr>
          <w:rFonts w:ascii="Azo Sans Md" w:hAnsi="Azo Sans Md" w:cstheme="minorHAnsi"/>
          <w:b/>
          <w:bCs/>
          <w:sz w:val="22"/>
          <w:szCs w:val="22"/>
        </w:rPr>
        <w:t xml:space="preserve"> PREGÃO ELETRÔNICO.</w:t>
      </w:r>
    </w:p>
    <w:p>
      <w:pPr>
        <w:pStyle w:val="12"/>
        <w:ind w:left="0" w:firstLine="0"/>
        <w:rPr>
          <w:rFonts w:ascii="Azo Sans Md" w:hAnsi="Azo Sans Md" w:cstheme="minorHAnsi"/>
          <w:b/>
          <w:bCs/>
          <w:sz w:val="22"/>
          <w:szCs w:val="22"/>
        </w:rPr>
      </w:pPr>
    </w:p>
    <w:p>
      <w:pPr>
        <w:pStyle w:val="12"/>
        <w:ind w:left="0" w:firstLine="0"/>
        <w:rPr>
          <w:rFonts w:ascii="Azo Sans Lt" w:hAnsi="Azo Sans Lt" w:eastAsiaTheme="minorHAnsi" w:cstheme="minorHAnsi"/>
          <w:b/>
          <w:bCs/>
          <w:sz w:val="22"/>
          <w:szCs w:val="22"/>
          <w:lang w:eastAsia="en-US"/>
        </w:rPr>
      </w:pPr>
      <w:r>
        <w:rPr>
          <w:rFonts w:ascii="Azo Sans Lt" w:hAnsi="Azo Sans Lt" w:eastAsiaTheme="minorHAnsi" w:cstheme="minorHAnsi"/>
          <w:b/>
          <w:bCs/>
          <w:sz w:val="22"/>
          <w:szCs w:val="22"/>
          <w:lang w:eastAsia="en-US"/>
        </w:rPr>
        <w:t>A apresentação da proposta implicará na plena aceitação das condições estabelecidas neste edital e seus anexos.</w:t>
      </w:r>
    </w:p>
    <w:p>
      <w:pPr>
        <w:pStyle w:val="12"/>
        <w:ind w:left="0" w:firstLine="0"/>
        <w:rPr>
          <w:rFonts w:ascii="Azo Sans Lt" w:hAnsi="Azo Sans Lt" w:eastAsiaTheme="minorHAnsi" w:cstheme="minorHAnsi"/>
          <w:b/>
          <w:bCs/>
          <w:sz w:val="22"/>
          <w:szCs w:val="22"/>
          <w:lang w:eastAsia="en-US"/>
        </w:rPr>
      </w:pPr>
    </w:p>
    <w:p>
      <w:pPr>
        <w:spacing w:line="280" w:lineRule="atLeast"/>
        <w:jc w:val="center"/>
        <w:rPr>
          <w:rFonts w:ascii="Azo Sans Lt" w:hAnsi="Azo Sans Lt" w:cstheme="minorHAnsi"/>
          <w:sz w:val="20"/>
        </w:rPr>
      </w:pPr>
      <w:r>
        <w:rPr>
          <w:rFonts w:ascii="Azo Sans Lt" w:hAnsi="Azo Sans Lt" w:cstheme="minorHAnsi"/>
          <w:sz w:val="20"/>
        </w:rPr>
        <w:t>.............................................................................., ........, ................................... de 2026.</w:t>
      </w:r>
    </w:p>
    <w:p>
      <w:pPr>
        <w:spacing w:line="280" w:lineRule="atLeast"/>
        <w:jc w:val="center"/>
        <w:rPr>
          <w:rFonts w:ascii="Azo Sans Lt" w:hAnsi="Azo Sans Lt" w:cstheme="minorHAnsi"/>
          <w:sz w:val="20"/>
        </w:rPr>
      </w:pPr>
      <w:r>
        <w:rPr>
          <w:rFonts w:ascii="Azo Sans Lt" w:hAnsi="Azo Sans Lt" w:cstheme="minorHAnsi"/>
          <w:sz w:val="20"/>
        </w:rPr>
        <w:t>Local e Data</w:t>
      </w:r>
    </w:p>
    <w:p>
      <w:pPr>
        <w:spacing w:line="280" w:lineRule="atLeast"/>
        <w:jc w:val="center"/>
        <w:rPr>
          <w:rFonts w:ascii="Azo Sans Lt" w:hAnsi="Azo Sans Lt" w:cstheme="minorHAnsi"/>
          <w:sz w:val="20"/>
        </w:rPr>
      </w:pPr>
    </w:p>
    <w:p>
      <w:pPr>
        <w:spacing w:line="280" w:lineRule="atLeast"/>
        <w:jc w:val="center"/>
        <w:rPr>
          <w:rFonts w:ascii="Azo Sans Lt" w:hAnsi="Azo Sans Lt" w:cstheme="minorHAnsi"/>
          <w:sz w:val="20"/>
        </w:rPr>
      </w:pPr>
    </w:p>
    <w:p>
      <w:pPr>
        <w:pStyle w:val="12"/>
        <w:jc w:val="center"/>
        <w:rPr>
          <w:rFonts w:ascii="Azo Sans Lt" w:hAnsi="Azo Sans Lt" w:cstheme="minorHAnsi"/>
          <w:sz w:val="22"/>
        </w:rPr>
      </w:pPr>
      <w:r>
        <w:rPr>
          <w:rFonts w:ascii="Azo Sans Lt" w:hAnsi="Azo Sans Lt" w:cstheme="minorHAnsi"/>
          <w:sz w:val="22"/>
        </w:rPr>
        <w:t>Assinatura do Responsável pela Empresa</w:t>
      </w:r>
    </w:p>
    <w:p>
      <w:pPr>
        <w:pStyle w:val="12"/>
        <w:jc w:val="center"/>
        <w:rPr>
          <w:rFonts w:ascii="Azo Sans Lt" w:hAnsi="Azo Sans Lt" w:cstheme="minorHAnsi"/>
        </w:rPr>
      </w:pPr>
      <w:r>
        <w:rPr>
          <w:rFonts w:ascii="Azo Sans Lt" w:hAnsi="Azo Sans Lt" w:cstheme="minorHAnsi"/>
          <w:sz w:val="22"/>
        </w:rPr>
        <w:t>(Nome Legível/Cargo)</w:t>
      </w:r>
    </w:p>
    <w:sectPr>
      <w:headerReference r:id="rId5" w:type="default"/>
      <w:pgSz w:w="11906" w:h="16838"/>
      <w:pgMar w:top="1674" w:right="1418" w:bottom="1418" w:left="1418" w:header="0" w:footer="624"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G Times (W1)">
    <w:altName w:val="Times New Roman"/>
    <w:panose1 w:val="00000000000000000000"/>
    <w:charset w:val="00"/>
    <w:family w:val="roman"/>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Azo Sans Md">
    <w:panose1 w:val="02000000000000000000"/>
    <w:charset w:val="00"/>
    <w:family w:val="modern"/>
    <w:pitch w:val="default"/>
    <w:sig w:usb0="00000007" w:usb1="00000000" w:usb2="00000000" w:usb3="00000000" w:csb0="20000093" w:csb1="00000000"/>
  </w:font>
  <w:font w:name="Azo Sans Lt">
    <w:panose1 w:val="02000000000000000000"/>
    <w:charset w:val="00"/>
    <w:family w:val="modern"/>
    <w:pitch w:val="default"/>
    <w:sig w:usb0="00000007" w:usb1="00000000" w:usb2="00000000" w:usb3="00000000" w:csb0="20000093" w:csb1="00000000"/>
  </w:font>
  <w:font w:name="Aptos Narrow">
    <w:altName w:val="Liberation Mono"/>
    <w:panose1 w:val="00000000000000000000"/>
    <w:charset w:val="00"/>
    <w:family w:val="swiss"/>
    <w:pitch w:val="default"/>
    <w:sig w:usb0="00000000" w:usb1="00000000" w:usb2="00000000" w:usb3="00000000" w:csb0="0000019F" w:csb1="00000000"/>
  </w:font>
  <w:font w:name="Liberation Mono">
    <w:panose1 w:val="02070409020205020404"/>
    <w:charset w:val="00"/>
    <w:family w:val="auto"/>
    <w:pitch w:val="default"/>
    <w:sig w:usb0="E0000AFF" w:usb1="400078FF" w:usb2="00000001" w:usb3="00000000" w:csb0="600001BF" w:csb1="DFF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left="0" w:hanging="284"/>
      <w:rPr>
        <w:rFonts w:hint="default"/>
        <w:sz w:val="6"/>
        <w:szCs w:val="6"/>
        <w:lang w:val="pt-BR"/>
      </w:rPr>
    </w:pPr>
    <w:r>
      <w:rPr>
        <w:rFonts w:hint="default"/>
        <w:sz w:val="6"/>
        <w:szCs w:val="6"/>
        <w:lang w:val="pt-BR"/>
      </w:rPr>
      <w:drawing>
        <wp:inline distT="0" distB="0" distL="114300" distR="114300">
          <wp:extent cx="5720080" cy="1153795"/>
          <wp:effectExtent l="0" t="0" r="0" b="0"/>
          <wp:docPr id="1" name="Imagem 1" descr="Secretaria de Saú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cretaria de Saúde (1)"/>
                  <pic:cNvPicPr>
                    <a:picLocks noChangeAspect="1"/>
                  </pic:cNvPicPr>
                </pic:nvPicPr>
                <pic:blipFill>
                  <a:blip r:embed="rId1"/>
                  <a:stretch>
                    <a:fillRect/>
                  </a:stretch>
                </pic:blipFill>
                <pic:spPr>
                  <a:xfrm>
                    <a:off x="0" y="0"/>
                    <a:ext cx="5720080" cy="1153795"/>
                  </a:xfrm>
                  <a:prstGeom prst="rect">
                    <a:avLst/>
                  </a:prstGeom>
                </pic:spPr>
              </pic:pic>
            </a:graphicData>
          </a:graphic>
        </wp:inline>
      </w:drawing>
    </w:r>
  </w:p>
  <w:p>
    <w:pPr>
      <w:pStyle w:val="13"/>
      <w:ind w:left="0" w:hanging="284"/>
      <w:rPr>
        <w:sz w:val="6"/>
        <w:szCs w:val="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B"/>
    <w:multiLevelType w:val="multilevel"/>
    <w:tmpl w:val="FFFFFFFB"/>
    <w:lvl w:ilvl="0" w:tentative="0">
      <w:start w:val="1"/>
      <w:numFmt w:val="decimal"/>
      <w:pStyle w:val="2"/>
      <w:lvlText w:val="%1."/>
      <w:legacy w:legacy="1" w:legacySpace="0" w:legacyIndent="708"/>
      <w:lvlJc w:val="left"/>
      <w:pPr>
        <w:ind w:left="708" w:hanging="708"/>
      </w:pPr>
      <w:rPr>
        <w:rFonts w:cs="Times New Roman"/>
      </w:rPr>
    </w:lvl>
    <w:lvl w:ilvl="1" w:tentative="0">
      <w:start w:val="1"/>
      <w:numFmt w:val="decimal"/>
      <w:pStyle w:val="3"/>
      <w:lvlText w:val="%1.%2."/>
      <w:legacy w:legacy="1" w:legacySpace="0" w:legacyIndent="708"/>
      <w:lvlJc w:val="left"/>
      <w:pPr>
        <w:ind w:left="1416" w:hanging="708"/>
      </w:pPr>
      <w:rPr>
        <w:rFonts w:cs="Times New Roman"/>
        <w:b w:val="0"/>
        <w:sz w:val="24"/>
        <w:szCs w:val="24"/>
      </w:rPr>
    </w:lvl>
    <w:lvl w:ilvl="2" w:tentative="0">
      <w:start w:val="1"/>
      <w:numFmt w:val="decimal"/>
      <w:pStyle w:val="4"/>
      <w:lvlText w:val="%1.%2.%3."/>
      <w:legacy w:legacy="1" w:legacySpace="0" w:legacyIndent="708"/>
      <w:lvlJc w:val="left"/>
      <w:pPr>
        <w:ind w:left="2124" w:hanging="708"/>
      </w:pPr>
      <w:rPr>
        <w:rFonts w:hint="default" w:ascii="Arial" w:hAnsi="Arial" w:cs="Arial"/>
        <w:b w:val="0"/>
        <w:color w:val="auto"/>
        <w:sz w:val="24"/>
        <w:szCs w:val="24"/>
      </w:rPr>
    </w:lvl>
    <w:lvl w:ilvl="3" w:tentative="0">
      <w:start w:val="1"/>
      <w:numFmt w:val="decimal"/>
      <w:pStyle w:val="6"/>
      <w:lvlText w:val="%1.%2.%3.%4."/>
      <w:legacy w:legacy="1" w:legacySpace="0" w:legacyIndent="708"/>
      <w:lvlJc w:val="left"/>
      <w:pPr>
        <w:ind w:left="2552" w:hanging="708"/>
      </w:pPr>
      <w:rPr>
        <w:rFonts w:cs="Times New Roman"/>
        <w:color w:val="auto"/>
      </w:rPr>
    </w:lvl>
    <w:lvl w:ilvl="4" w:tentative="0">
      <w:start w:val="1"/>
      <w:numFmt w:val="decimal"/>
      <w:pStyle w:val="7"/>
      <w:lvlText w:val="%1.%2.%3.%4.%5."/>
      <w:legacy w:legacy="1" w:legacySpace="0" w:legacyIndent="708"/>
      <w:lvlJc w:val="left"/>
      <w:pPr>
        <w:ind w:left="3540" w:hanging="708"/>
      </w:pPr>
      <w:rPr>
        <w:rFonts w:cs="Times New Roman"/>
      </w:rPr>
    </w:lvl>
    <w:lvl w:ilvl="5" w:tentative="0">
      <w:start w:val="1"/>
      <w:numFmt w:val="decimal"/>
      <w:pStyle w:val="8"/>
      <w:lvlText w:val="%1.%2.%3.%4.%5.%6."/>
      <w:legacy w:legacy="1" w:legacySpace="0" w:legacyIndent="708"/>
      <w:lvlJc w:val="left"/>
      <w:pPr>
        <w:ind w:left="4248" w:hanging="708"/>
      </w:pPr>
      <w:rPr>
        <w:rFonts w:cs="Times New Roman"/>
      </w:rPr>
    </w:lvl>
    <w:lvl w:ilvl="6" w:tentative="0">
      <w:start w:val="1"/>
      <w:numFmt w:val="decimal"/>
      <w:lvlText w:val="%1.%2.%3.%4.%5.%6.%7."/>
      <w:legacy w:legacy="1" w:legacySpace="0" w:legacyIndent="708"/>
      <w:lvlJc w:val="left"/>
      <w:pPr>
        <w:ind w:left="4956" w:hanging="708"/>
      </w:pPr>
      <w:rPr>
        <w:rFonts w:cs="Times New Roman"/>
      </w:rPr>
    </w:lvl>
    <w:lvl w:ilvl="7" w:tentative="0">
      <w:start w:val="1"/>
      <w:numFmt w:val="decimal"/>
      <w:pStyle w:val="9"/>
      <w:lvlText w:val="%1.%2.%3.%4.%5.%6.%7.%8."/>
      <w:legacy w:legacy="1" w:legacySpace="0" w:legacyIndent="708"/>
      <w:lvlJc w:val="left"/>
      <w:pPr>
        <w:ind w:left="5664" w:hanging="708"/>
      </w:pPr>
      <w:rPr>
        <w:rFonts w:cs="Times New Roman"/>
      </w:rPr>
    </w:lvl>
    <w:lvl w:ilvl="8" w:tentative="0">
      <w:start w:val="1"/>
      <w:numFmt w:val="decimal"/>
      <w:lvlText w:val="%1.%2.%3.%4.%5.%6.%7.%8.%9."/>
      <w:legacy w:legacy="1" w:legacySpace="0" w:legacyIndent="708"/>
      <w:lvlJc w:val="left"/>
      <w:pPr>
        <w:ind w:left="6372" w:hanging="708"/>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67F8"/>
    <w:rsid w:val="00003D7F"/>
    <w:rsid w:val="00023F9B"/>
    <w:rsid w:val="000243BE"/>
    <w:rsid w:val="00031E32"/>
    <w:rsid w:val="00037732"/>
    <w:rsid w:val="0004087E"/>
    <w:rsid w:val="00045F5A"/>
    <w:rsid w:val="0004694E"/>
    <w:rsid w:val="000550BD"/>
    <w:rsid w:val="00060BD5"/>
    <w:rsid w:val="00063A19"/>
    <w:rsid w:val="00066D8E"/>
    <w:rsid w:val="00083679"/>
    <w:rsid w:val="00096AE9"/>
    <w:rsid w:val="000B2810"/>
    <w:rsid w:val="000B4111"/>
    <w:rsid w:val="000B5FD2"/>
    <w:rsid w:val="000C1096"/>
    <w:rsid w:val="000C6B30"/>
    <w:rsid w:val="000D4EB6"/>
    <w:rsid w:val="000F3EB0"/>
    <w:rsid w:val="00102F5F"/>
    <w:rsid w:val="00105CDF"/>
    <w:rsid w:val="0012526A"/>
    <w:rsid w:val="00134FAC"/>
    <w:rsid w:val="00135D9D"/>
    <w:rsid w:val="001544C6"/>
    <w:rsid w:val="00167CBF"/>
    <w:rsid w:val="00171295"/>
    <w:rsid w:val="00171995"/>
    <w:rsid w:val="00191EF4"/>
    <w:rsid w:val="001A67EB"/>
    <w:rsid w:val="001B0B82"/>
    <w:rsid w:val="001C216E"/>
    <w:rsid w:val="001C531E"/>
    <w:rsid w:val="001D7E91"/>
    <w:rsid w:val="001E0F3B"/>
    <w:rsid w:val="001E48EE"/>
    <w:rsid w:val="001F012D"/>
    <w:rsid w:val="001F3ED6"/>
    <w:rsid w:val="002144FB"/>
    <w:rsid w:val="00222D02"/>
    <w:rsid w:val="002705DD"/>
    <w:rsid w:val="00293A35"/>
    <w:rsid w:val="002B31BD"/>
    <w:rsid w:val="002D4136"/>
    <w:rsid w:val="002D6494"/>
    <w:rsid w:val="002E1108"/>
    <w:rsid w:val="0030627A"/>
    <w:rsid w:val="00307845"/>
    <w:rsid w:val="00326337"/>
    <w:rsid w:val="00353597"/>
    <w:rsid w:val="00355ADE"/>
    <w:rsid w:val="00373ED6"/>
    <w:rsid w:val="00375A56"/>
    <w:rsid w:val="00380A1E"/>
    <w:rsid w:val="00387F60"/>
    <w:rsid w:val="0039050B"/>
    <w:rsid w:val="003D298D"/>
    <w:rsid w:val="00402EC9"/>
    <w:rsid w:val="00421C20"/>
    <w:rsid w:val="00422B04"/>
    <w:rsid w:val="00435B5A"/>
    <w:rsid w:val="00436D32"/>
    <w:rsid w:val="00444607"/>
    <w:rsid w:val="00446624"/>
    <w:rsid w:val="004478A8"/>
    <w:rsid w:val="004826FB"/>
    <w:rsid w:val="004A3748"/>
    <w:rsid w:val="004A629C"/>
    <w:rsid w:val="004B003E"/>
    <w:rsid w:val="004B28C9"/>
    <w:rsid w:val="004B28E9"/>
    <w:rsid w:val="004B3602"/>
    <w:rsid w:val="004C366B"/>
    <w:rsid w:val="004D3C98"/>
    <w:rsid w:val="004F14B5"/>
    <w:rsid w:val="004F1FE4"/>
    <w:rsid w:val="005013DA"/>
    <w:rsid w:val="005015A5"/>
    <w:rsid w:val="00507DB4"/>
    <w:rsid w:val="00523B36"/>
    <w:rsid w:val="0054275E"/>
    <w:rsid w:val="0054306A"/>
    <w:rsid w:val="00545ED2"/>
    <w:rsid w:val="00553CEF"/>
    <w:rsid w:val="00560959"/>
    <w:rsid w:val="00571FDF"/>
    <w:rsid w:val="005B017A"/>
    <w:rsid w:val="005B2B5C"/>
    <w:rsid w:val="005B4DD9"/>
    <w:rsid w:val="005C1897"/>
    <w:rsid w:val="005C7FAA"/>
    <w:rsid w:val="005D7A4E"/>
    <w:rsid w:val="00630CF9"/>
    <w:rsid w:val="0063784D"/>
    <w:rsid w:val="00642D71"/>
    <w:rsid w:val="00650B17"/>
    <w:rsid w:val="00652EAA"/>
    <w:rsid w:val="0065673B"/>
    <w:rsid w:val="00697AD4"/>
    <w:rsid w:val="006A378A"/>
    <w:rsid w:val="006B41AE"/>
    <w:rsid w:val="006D33BD"/>
    <w:rsid w:val="0070659C"/>
    <w:rsid w:val="00707095"/>
    <w:rsid w:val="00723E9F"/>
    <w:rsid w:val="00752515"/>
    <w:rsid w:val="00757FAA"/>
    <w:rsid w:val="00761CB5"/>
    <w:rsid w:val="00765D44"/>
    <w:rsid w:val="007712B4"/>
    <w:rsid w:val="00775BE3"/>
    <w:rsid w:val="00796C24"/>
    <w:rsid w:val="007A67F8"/>
    <w:rsid w:val="007B0D4C"/>
    <w:rsid w:val="007B5CD0"/>
    <w:rsid w:val="007C3E41"/>
    <w:rsid w:val="007C49D4"/>
    <w:rsid w:val="008129E2"/>
    <w:rsid w:val="00831CDA"/>
    <w:rsid w:val="00831E9A"/>
    <w:rsid w:val="008442E3"/>
    <w:rsid w:val="00851D94"/>
    <w:rsid w:val="008565E4"/>
    <w:rsid w:val="0085670E"/>
    <w:rsid w:val="00894EB4"/>
    <w:rsid w:val="008A07A4"/>
    <w:rsid w:val="008A4FEE"/>
    <w:rsid w:val="008B74F2"/>
    <w:rsid w:val="008C07EA"/>
    <w:rsid w:val="008C2C26"/>
    <w:rsid w:val="008C5025"/>
    <w:rsid w:val="008D5F10"/>
    <w:rsid w:val="008E5349"/>
    <w:rsid w:val="00901291"/>
    <w:rsid w:val="009041BF"/>
    <w:rsid w:val="00914B95"/>
    <w:rsid w:val="00924CE2"/>
    <w:rsid w:val="00927381"/>
    <w:rsid w:val="00930076"/>
    <w:rsid w:val="0094777A"/>
    <w:rsid w:val="0096791A"/>
    <w:rsid w:val="00974A2C"/>
    <w:rsid w:val="00975FFB"/>
    <w:rsid w:val="009910CF"/>
    <w:rsid w:val="00993C38"/>
    <w:rsid w:val="00997ED5"/>
    <w:rsid w:val="009A62B7"/>
    <w:rsid w:val="009F3577"/>
    <w:rsid w:val="00A05282"/>
    <w:rsid w:val="00A1090C"/>
    <w:rsid w:val="00A11166"/>
    <w:rsid w:val="00A1365D"/>
    <w:rsid w:val="00A35EBB"/>
    <w:rsid w:val="00A62F5A"/>
    <w:rsid w:val="00A670D4"/>
    <w:rsid w:val="00A74546"/>
    <w:rsid w:val="00A75B9A"/>
    <w:rsid w:val="00A76578"/>
    <w:rsid w:val="00A76F18"/>
    <w:rsid w:val="00A837EB"/>
    <w:rsid w:val="00A864EA"/>
    <w:rsid w:val="00A951B1"/>
    <w:rsid w:val="00AA3A7B"/>
    <w:rsid w:val="00AA6C7F"/>
    <w:rsid w:val="00AC3484"/>
    <w:rsid w:val="00AE0A56"/>
    <w:rsid w:val="00AF25A2"/>
    <w:rsid w:val="00AF466B"/>
    <w:rsid w:val="00AF6809"/>
    <w:rsid w:val="00B264B5"/>
    <w:rsid w:val="00B30144"/>
    <w:rsid w:val="00B3074D"/>
    <w:rsid w:val="00B31016"/>
    <w:rsid w:val="00B659CB"/>
    <w:rsid w:val="00B73D7B"/>
    <w:rsid w:val="00B77E71"/>
    <w:rsid w:val="00B8036D"/>
    <w:rsid w:val="00B9001F"/>
    <w:rsid w:val="00BA5E81"/>
    <w:rsid w:val="00BB6EB1"/>
    <w:rsid w:val="00BC3762"/>
    <w:rsid w:val="00BE0874"/>
    <w:rsid w:val="00BE4605"/>
    <w:rsid w:val="00BF5CD1"/>
    <w:rsid w:val="00BF7745"/>
    <w:rsid w:val="00BF7C20"/>
    <w:rsid w:val="00C02B6C"/>
    <w:rsid w:val="00C0310B"/>
    <w:rsid w:val="00C033A0"/>
    <w:rsid w:val="00C4513F"/>
    <w:rsid w:val="00C510E8"/>
    <w:rsid w:val="00C65E98"/>
    <w:rsid w:val="00C6759F"/>
    <w:rsid w:val="00C701BD"/>
    <w:rsid w:val="00C71564"/>
    <w:rsid w:val="00C776CB"/>
    <w:rsid w:val="00C77D9C"/>
    <w:rsid w:val="00C80B54"/>
    <w:rsid w:val="00CA28B4"/>
    <w:rsid w:val="00CB5491"/>
    <w:rsid w:val="00CB6CC1"/>
    <w:rsid w:val="00CD0829"/>
    <w:rsid w:val="00CD15D4"/>
    <w:rsid w:val="00CE7D0D"/>
    <w:rsid w:val="00D03BFE"/>
    <w:rsid w:val="00D05146"/>
    <w:rsid w:val="00D1671B"/>
    <w:rsid w:val="00D510B4"/>
    <w:rsid w:val="00D577F2"/>
    <w:rsid w:val="00D76D7B"/>
    <w:rsid w:val="00D85FFB"/>
    <w:rsid w:val="00D92C84"/>
    <w:rsid w:val="00DA6BFA"/>
    <w:rsid w:val="00DA6D29"/>
    <w:rsid w:val="00DB2C54"/>
    <w:rsid w:val="00DB5059"/>
    <w:rsid w:val="00DB581C"/>
    <w:rsid w:val="00DC2FC4"/>
    <w:rsid w:val="00DD6E60"/>
    <w:rsid w:val="00DE34D5"/>
    <w:rsid w:val="00DF2C89"/>
    <w:rsid w:val="00E052F3"/>
    <w:rsid w:val="00E24D7B"/>
    <w:rsid w:val="00E27483"/>
    <w:rsid w:val="00E27EFD"/>
    <w:rsid w:val="00E30886"/>
    <w:rsid w:val="00E30AE4"/>
    <w:rsid w:val="00E46A51"/>
    <w:rsid w:val="00E52487"/>
    <w:rsid w:val="00E54CE3"/>
    <w:rsid w:val="00E71587"/>
    <w:rsid w:val="00E7275B"/>
    <w:rsid w:val="00E831F3"/>
    <w:rsid w:val="00EA1040"/>
    <w:rsid w:val="00EA7455"/>
    <w:rsid w:val="00ED5C62"/>
    <w:rsid w:val="00ED6C24"/>
    <w:rsid w:val="00EE3F3B"/>
    <w:rsid w:val="00F007C8"/>
    <w:rsid w:val="00F277F2"/>
    <w:rsid w:val="00F427A1"/>
    <w:rsid w:val="00F52153"/>
    <w:rsid w:val="00F62D1C"/>
    <w:rsid w:val="00F802BC"/>
    <w:rsid w:val="00F93B76"/>
    <w:rsid w:val="00F94146"/>
    <w:rsid w:val="00FC47C2"/>
    <w:rsid w:val="00FD4F3C"/>
    <w:rsid w:val="00FE6C10"/>
    <w:rsid w:val="00FF1AD7"/>
    <w:rsid w:val="05311CA8"/>
    <w:rsid w:val="0EE9079A"/>
    <w:rsid w:val="0FD22E13"/>
    <w:rsid w:val="161655B2"/>
    <w:rsid w:val="1CC42090"/>
    <w:rsid w:val="227B50B8"/>
    <w:rsid w:val="2420103B"/>
    <w:rsid w:val="3A397C14"/>
    <w:rsid w:val="5D337887"/>
    <w:rsid w:val="701E1C6E"/>
    <w:rsid w:val="727B7F5B"/>
    <w:rsid w:val="73D14676"/>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iPriority="9" w:name="heading 7"/>
    <w:lsdException w:qFormat="1" w:unhideWhenUsed="0" w:uiPriority="9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qFormat="1" w:unhideWhenUsed="0" w:uiPriority="0" w:semiHidden="0" w:name="List Paragraph"/>
  </w:latentStyles>
  <w:style w:type="paragraph" w:default="1" w:styleId="1">
    <w:name w:val="Normal"/>
    <w:qFormat/>
    <w:uiPriority w:val="0"/>
    <w:pPr>
      <w:spacing w:after="0" w:line="240" w:lineRule="auto"/>
      <w:ind w:left="709" w:hanging="709"/>
      <w:jc w:val="both"/>
    </w:pPr>
    <w:rPr>
      <w:rFonts w:ascii="Times New Roman" w:hAnsi="Times New Roman" w:eastAsia="Times New Roman" w:cs="Times New Roman"/>
      <w:sz w:val="24"/>
      <w:szCs w:val="20"/>
      <w:lang w:val="pt-BR" w:eastAsia="pt-BR" w:bidi="ar-SA"/>
    </w:rPr>
  </w:style>
  <w:style w:type="paragraph" w:styleId="2">
    <w:name w:val="heading 1"/>
    <w:basedOn w:val="1"/>
    <w:next w:val="1"/>
    <w:link w:val="17"/>
    <w:qFormat/>
    <w:uiPriority w:val="99"/>
    <w:pPr>
      <w:numPr>
        <w:ilvl w:val="0"/>
        <w:numId w:val="1"/>
      </w:numPr>
      <w:spacing w:after="60"/>
      <w:jc w:val="center"/>
      <w:outlineLvl w:val="0"/>
    </w:pPr>
    <w:rPr>
      <w:rFonts w:ascii="Arial" w:hAnsi="Arial"/>
      <w:b/>
      <w:color w:val="000000"/>
      <w:sz w:val="26"/>
    </w:rPr>
  </w:style>
  <w:style w:type="paragraph" w:styleId="3">
    <w:name w:val="heading 2"/>
    <w:basedOn w:val="1"/>
    <w:next w:val="1"/>
    <w:link w:val="18"/>
    <w:qFormat/>
    <w:uiPriority w:val="99"/>
    <w:pPr>
      <w:numPr>
        <w:ilvl w:val="1"/>
        <w:numId w:val="1"/>
      </w:numPr>
      <w:tabs>
        <w:tab w:val="left" w:pos="426"/>
      </w:tabs>
      <w:spacing w:before="240" w:after="60"/>
      <w:outlineLvl w:val="1"/>
    </w:pPr>
    <w:rPr>
      <w:rFonts w:ascii="Arial" w:hAnsi="Arial"/>
      <w:b/>
      <w:sz w:val="22"/>
    </w:rPr>
  </w:style>
  <w:style w:type="paragraph" w:styleId="4">
    <w:name w:val="heading 3"/>
    <w:basedOn w:val="1"/>
    <w:next w:val="5"/>
    <w:link w:val="19"/>
    <w:qFormat/>
    <w:uiPriority w:val="99"/>
    <w:pPr>
      <w:numPr>
        <w:ilvl w:val="2"/>
        <w:numId w:val="1"/>
      </w:numPr>
      <w:spacing w:before="120" w:after="120"/>
      <w:outlineLvl w:val="2"/>
    </w:pPr>
    <w:rPr>
      <w:rFonts w:ascii="CG Times (W1)" w:hAnsi="CG Times (W1)"/>
      <w:b/>
      <w:sz w:val="22"/>
    </w:rPr>
  </w:style>
  <w:style w:type="paragraph" w:styleId="6">
    <w:name w:val="heading 4"/>
    <w:basedOn w:val="1"/>
    <w:next w:val="5"/>
    <w:link w:val="20"/>
    <w:qFormat/>
    <w:uiPriority w:val="99"/>
    <w:pPr>
      <w:numPr>
        <w:ilvl w:val="3"/>
        <w:numId w:val="1"/>
      </w:numPr>
      <w:spacing w:before="120" w:after="120"/>
      <w:outlineLvl w:val="3"/>
    </w:pPr>
    <w:rPr>
      <w:rFonts w:ascii="CG Times (W1)" w:hAnsi="CG Times (W1)"/>
      <w:sz w:val="22"/>
      <w:u w:val="single"/>
    </w:rPr>
  </w:style>
  <w:style w:type="paragraph" w:styleId="7">
    <w:name w:val="heading 5"/>
    <w:basedOn w:val="1"/>
    <w:next w:val="5"/>
    <w:link w:val="21"/>
    <w:qFormat/>
    <w:uiPriority w:val="99"/>
    <w:pPr>
      <w:numPr>
        <w:ilvl w:val="4"/>
        <w:numId w:val="1"/>
      </w:numPr>
      <w:spacing w:before="120" w:after="120"/>
      <w:outlineLvl w:val="4"/>
    </w:pPr>
    <w:rPr>
      <w:rFonts w:ascii="CG Times (W1)" w:hAnsi="CG Times (W1)"/>
      <w:b/>
      <w:sz w:val="20"/>
    </w:rPr>
  </w:style>
  <w:style w:type="paragraph" w:styleId="8">
    <w:name w:val="heading 6"/>
    <w:basedOn w:val="1"/>
    <w:next w:val="5"/>
    <w:link w:val="22"/>
    <w:qFormat/>
    <w:uiPriority w:val="99"/>
    <w:pPr>
      <w:numPr>
        <w:ilvl w:val="5"/>
        <w:numId w:val="1"/>
      </w:numPr>
      <w:spacing w:before="120" w:after="120"/>
      <w:outlineLvl w:val="5"/>
    </w:pPr>
    <w:rPr>
      <w:rFonts w:ascii="CG Times (W1)" w:hAnsi="CG Times (W1)"/>
      <w:sz w:val="20"/>
      <w:u w:val="single"/>
    </w:rPr>
  </w:style>
  <w:style w:type="paragraph" w:styleId="9">
    <w:name w:val="heading 8"/>
    <w:basedOn w:val="1"/>
    <w:next w:val="5"/>
    <w:link w:val="23"/>
    <w:qFormat/>
    <w:uiPriority w:val="99"/>
    <w:pPr>
      <w:numPr>
        <w:ilvl w:val="7"/>
        <w:numId w:val="1"/>
      </w:numPr>
      <w:spacing w:before="120" w:after="120"/>
      <w:outlineLvl w:val="7"/>
    </w:pPr>
    <w:rPr>
      <w:rFonts w:ascii="CG Times (W1)" w:hAnsi="CG Times (W1)"/>
      <w:i/>
      <w:sz w:val="20"/>
    </w:rPr>
  </w:style>
  <w:style w:type="character" w:default="1" w:styleId="10">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Normal Indent"/>
    <w:basedOn w:val="1"/>
    <w:semiHidden/>
    <w:unhideWhenUsed/>
    <w:qFormat/>
    <w:uiPriority w:val="99"/>
    <w:pPr>
      <w:ind w:left="708"/>
    </w:pPr>
  </w:style>
  <w:style w:type="paragraph" w:styleId="12">
    <w:name w:val="Body Text"/>
    <w:basedOn w:val="1"/>
    <w:link w:val="24"/>
    <w:qFormat/>
    <w:uiPriority w:val="99"/>
    <w:pPr>
      <w:tabs>
        <w:tab w:val="left" w:pos="993"/>
      </w:tabs>
    </w:pPr>
  </w:style>
  <w:style w:type="paragraph" w:styleId="13">
    <w:name w:val="header"/>
    <w:basedOn w:val="1"/>
    <w:link w:val="27"/>
    <w:unhideWhenUsed/>
    <w:qFormat/>
    <w:uiPriority w:val="0"/>
    <w:pPr>
      <w:tabs>
        <w:tab w:val="center" w:pos="4252"/>
        <w:tab w:val="right" w:pos="8504"/>
      </w:tabs>
    </w:pPr>
  </w:style>
  <w:style w:type="paragraph" w:styleId="14">
    <w:name w:val="footer"/>
    <w:basedOn w:val="1"/>
    <w:link w:val="28"/>
    <w:unhideWhenUsed/>
    <w:qFormat/>
    <w:uiPriority w:val="99"/>
    <w:pPr>
      <w:tabs>
        <w:tab w:val="center" w:pos="4252"/>
        <w:tab w:val="right" w:pos="8504"/>
      </w:tabs>
    </w:pPr>
  </w:style>
  <w:style w:type="paragraph" w:styleId="15">
    <w:name w:val="Balloon Text"/>
    <w:basedOn w:val="1"/>
    <w:link w:val="32"/>
    <w:semiHidden/>
    <w:unhideWhenUsed/>
    <w:qFormat/>
    <w:uiPriority w:val="99"/>
    <w:rPr>
      <w:rFonts w:ascii="Segoe UI" w:hAnsi="Segoe UI" w:cs="Segoe UI"/>
      <w:sz w:val="18"/>
      <w:szCs w:val="18"/>
    </w:rPr>
  </w:style>
  <w:style w:type="table" w:styleId="16">
    <w:name w:val="Table Grid"/>
    <w:basedOn w:val="11"/>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
    <w:name w:val="Título 1 Char"/>
    <w:basedOn w:val="10"/>
    <w:link w:val="2"/>
    <w:qFormat/>
    <w:uiPriority w:val="99"/>
    <w:rPr>
      <w:rFonts w:ascii="Arial" w:hAnsi="Arial" w:eastAsia="Times New Roman" w:cs="Times New Roman"/>
      <w:b/>
      <w:color w:val="000000"/>
      <w:sz w:val="26"/>
      <w:szCs w:val="20"/>
      <w:lang w:eastAsia="pt-BR"/>
    </w:rPr>
  </w:style>
  <w:style w:type="character" w:customStyle="1" w:styleId="18">
    <w:name w:val="Título 2 Char"/>
    <w:basedOn w:val="10"/>
    <w:link w:val="3"/>
    <w:qFormat/>
    <w:uiPriority w:val="99"/>
    <w:rPr>
      <w:rFonts w:ascii="Arial" w:hAnsi="Arial" w:eastAsia="Times New Roman" w:cs="Times New Roman"/>
      <w:b/>
      <w:szCs w:val="20"/>
      <w:lang w:eastAsia="pt-BR"/>
    </w:rPr>
  </w:style>
  <w:style w:type="character" w:customStyle="1" w:styleId="19">
    <w:name w:val="Título 3 Char"/>
    <w:basedOn w:val="10"/>
    <w:link w:val="4"/>
    <w:qFormat/>
    <w:uiPriority w:val="99"/>
    <w:rPr>
      <w:rFonts w:ascii="CG Times (W1)" w:hAnsi="CG Times (W1)" w:eastAsia="Times New Roman" w:cs="Times New Roman"/>
      <w:b/>
      <w:szCs w:val="20"/>
      <w:lang w:eastAsia="pt-BR"/>
    </w:rPr>
  </w:style>
  <w:style w:type="character" w:customStyle="1" w:styleId="20">
    <w:name w:val="Título 4 Char"/>
    <w:basedOn w:val="10"/>
    <w:link w:val="6"/>
    <w:qFormat/>
    <w:uiPriority w:val="99"/>
    <w:rPr>
      <w:rFonts w:ascii="CG Times (W1)" w:hAnsi="CG Times (W1)" w:eastAsia="Times New Roman" w:cs="Times New Roman"/>
      <w:szCs w:val="20"/>
      <w:u w:val="single"/>
      <w:lang w:eastAsia="pt-BR"/>
    </w:rPr>
  </w:style>
  <w:style w:type="character" w:customStyle="1" w:styleId="21">
    <w:name w:val="Título 5 Char"/>
    <w:basedOn w:val="10"/>
    <w:link w:val="7"/>
    <w:qFormat/>
    <w:uiPriority w:val="99"/>
    <w:rPr>
      <w:rFonts w:ascii="CG Times (W1)" w:hAnsi="CG Times (W1)" w:eastAsia="Times New Roman" w:cs="Times New Roman"/>
      <w:b/>
      <w:sz w:val="20"/>
      <w:szCs w:val="20"/>
      <w:lang w:eastAsia="pt-BR"/>
    </w:rPr>
  </w:style>
  <w:style w:type="character" w:customStyle="1" w:styleId="22">
    <w:name w:val="Título 6 Char"/>
    <w:basedOn w:val="10"/>
    <w:link w:val="8"/>
    <w:qFormat/>
    <w:uiPriority w:val="99"/>
    <w:rPr>
      <w:rFonts w:ascii="CG Times (W1)" w:hAnsi="CG Times (W1)" w:eastAsia="Times New Roman" w:cs="Times New Roman"/>
      <w:sz w:val="20"/>
      <w:szCs w:val="20"/>
      <w:u w:val="single"/>
      <w:lang w:eastAsia="pt-BR"/>
    </w:rPr>
  </w:style>
  <w:style w:type="character" w:customStyle="1" w:styleId="23">
    <w:name w:val="Título 8 Char"/>
    <w:basedOn w:val="10"/>
    <w:link w:val="9"/>
    <w:qFormat/>
    <w:uiPriority w:val="99"/>
    <w:rPr>
      <w:rFonts w:ascii="CG Times (W1)" w:hAnsi="CG Times (W1)" w:eastAsia="Times New Roman" w:cs="Times New Roman"/>
      <w:i/>
      <w:sz w:val="20"/>
      <w:szCs w:val="20"/>
      <w:lang w:eastAsia="pt-BR"/>
    </w:rPr>
  </w:style>
  <w:style w:type="character" w:customStyle="1" w:styleId="24">
    <w:name w:val="Corpo de texto Char"/>
    <w:basedOn w:val="10"/>
    <w:link w:val="12"/>
    <w:qFormat/>
    <w:uiPriority w:val="99"/>
    <w:rPr>
      <w:rFonts w:ascii="Times New Roman" w:hAnsi="Times New Roman" w:eastAsia="Times New Roman" w:cs="Times New Roman"/>
      <w:sz w:val="24"/>
      <w:szCs w:val="20"/>
      <w:lang w:eastAsia="pt-BR"/>
    </w:rPr>
  </w:style>
  <w:style w:type="paragraph" w:customStyle="1" w:styleId="25">
    <w:name w:val="Paragraph Style"/>
    <w:qFormat/>
    <w:uiPriority w:val="0"/>
    <w:pPr>
      <w:widowControl w:val="0"/>
      <w:autoSpaceDE w:val="0"/>
      <w:autoSpaceDN w:val="0"/>
      <w:adjustRightInd w:val="0"/>
      <w:spacing w:after="0" w:line="240" w:lineRule="auto"/>
    </w:pPr>
    <w:rPr>
      <w:rFonts w:ascii="Arial" w:hAnsi="Arial" w:eastAsia="Times New Roman" w:cs="Times New Roman"/>
      <w:sz w:val="24"/>
      <w:szCs w:val="24"/>
      <w:lang w:val="pt-BR" w:eastAsia="pt-BR" w:bidi="ar-SA"/>
    </w:rPr>
  </w:style>
  <w:style w:type="character" w:styleId="26">
    <w:name w:val="Placeholder Text"/>
    <w:basedOn w:val="10"/>
    <w:semiHidden/>
    <w:qFormat/>
    <w:uiPriority w:val="99"/>
  </w:style>
  <w:style w:type="character" w:customStyle="1" w:styleId="27">
    <w:name w:val="Cabeçalho Char"/>
    <w:basedOn w:val="10"/>
    <w:link w:val="13"/>
    <w:qFormat/>
    <w:uiPriority w:val="0"/>
    <w:rPr>
      <w:rFonts w:ascii="Times New Roman" w:hAnsi="Times New Roman" w:eastAsia="Times New Roman" w:cs="Times New Roman"/>
      <w:sz w:val="24"/>
      <w:szCs w:val="20"/>
      <w:lang w:eastAsia="pt-BR"/>
    </w:rPr>
  </w:style>
  <w:style w:type="character" w:customStyle="1" w:styleId="28">
    <w:name w:val="Rodapé Char"/>
    <w:basedOn w:val="10"/>
    <w:link w:val="14"/>
    <w:qFormat/>
    <w:uiPriority w:val="99"/>
    <w:rPr>
      <w:rFonts w:ascii="Times New Roman" w:hAnsi="Times New Roman" w:eastAsia="Times New Roman" w:cs="Times New Roman"/>
      <w:sz w:val="24"/>
      <w:szCs w:val="20"/>
      <w:lang w:eastAsia="pt-BR"/>
    </w:rPr>
  </w:style>
  <w:style w:type="paragraph" w:styleId="29">
    <w:name w:val="No Spacing"/>
    <w:link w:val="30"/>
    <w:qFormat/>
    <w:uiPriority w:val="1"/>
    <w:pPr>
      <w:spacing w:after="0" w:line="240" w:lineRule="auto"/>
    </w:pPr>
    <w:rPr>
      <w:rFonts w:ascii="Calibri" w:hAnsi="Calibri" w:eastAsia="Times New Roman" w:cs="Times New Roman"/>
      <w:sz w:val="22"/>
      <w:szCs w:val="22"/>
      <w:lang w:val="pt-BR" w:eastAsia="pt-BR" w:bidi="ar-SA"/>
    </w:rPr>
  </w:style>
  <w:style w:type="character" w:customStyle="1" w:styleId="30">
    <w:name w:val="Sem Espaçamento Char"/>
    <w:link w:val="29"/>
    <w:qFormat/>
    <w:uiPriority w:val="1"/>
    <w:rPr>
      <w:rFonts w:ascii="Calibri" w:hAnsi="Calibri" w:eastAsia="Times New Roman" w:cs="Times New Roman"/>
      <w:lang w:eastAsia="pt-BR"/>
    </w:rPr>
  </w:style>
  <w:style w:type="paragraph" w:styleId="31">
    <w:name w:val="List Paragraph"/>
    <w:basedOn w:val="1"/>
    <w:qFormat/>
    <w:uiPriority w:val="0"/>
    <w:pPr>
      <w:ind w:left="720" w:firstLine="0"/>
      <w:contextualSpacing/>
      <w:jc w:val="left"/>
    </w:pPr>
    <w:rPr>
      <w:szCs w:val="24"/>
    </w:rPr>
  </w:style>
  <w:style w:type="character" w:customStyle="1" w:styleId="32">
    <w:name w:val="Texto de balão Char"/>
    <w:basedOn w:val="10"/>
    <w:link w:val="15"/>
    <w:semiHidden/>
    <w:qFormat/>
    <w:uiPriority w:val="99"/>
    <w:rPr>
      <w:rFonts w:ascii="Segoe UI" w:hAnsi="Segoe UI" w:eastAsia="Times New Roman" w:cs="Segoe UI"/>
      <w:sz w:val="18"/>
      <w:szCs w:val="18"/>
      <w:lang w:eastAsia="pt-BR"/>
    </w:rPr>
  </w:style>
  <w:style w:type="paragraph" w:customStyle="1" w:styleId="33">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character" w:customStyle="1" w:styleId="34">
    <w:name w:val="font51"/>
    <w:qFormat/>
    <w:uiPriority w:val="0"/>
    <w:rPr>
      <w:rFonts w:hint="default" w:ascii="Calibri" w:hAnsi="Calibri" w:cs="Calibri"/>
      <w:color w:val="000000"/>
      <w:u w:val="none"/>
    </w:rPr>
  </w:style>
  <w:style w:type="character" w:customStyle="1" w:styleId="35">
    <w:name w:val="font71"/>
    <w:qFormat/>
    <w:uiPriority w:val="0"/>
    <w:rPr>
      <w:rFonts w:hint="default" w:ascii="Calibri" w:hAnsi="Calibri" w:cs="Calibri"/>
      <w:color w:val="000000"/>
      <w:u w:val="single"/>
    </w:rPr>
  </w:style>
  <w:style w:type="character" w:customStyle="1" w:styleId="36">
    <w:name w:val="font81"/>
    <w:qFormat/>
    <w:uiPriority w:val="0"/>
    <w:rPr>
      <w:rFonts w:hint="default" w:ascii="Calibri" w:hAnsi="Calibri" w:cs="Calibri"/>
      <w:color w:val="000000"/>
      <w:u w:val="none"/>
    </w:rPr>
  </w:style>
  <w:style w:type="paragraph" w:customStyle="1" w:styleId="37">
    <w:name w:val="Parágrafo da Lista1"/>
    <w:basedOn w:val="1"/>
    <w:qFormat/>
    <w:uiPriority w:val="7"/>
    <w:pPr>
      <w:suppressAutoHyphens/>
      <w:spacing w:after="200" w:line="276" w:lineRule="auto"/>
      <w:ind w:left="720" w:firstLine="0"/>
      <w:contextualSpacing/>
      <w:jc w:val="left"/>
    </w:pPr>
    <w:rPr>
      <w:rFonts w:ascii="Calibri" w:hAnsi="Calibri" w:eastAsia="SimSun"/>
      <w:sz w:val="22"/>
      <w:szCs w:val="22"/>
      <w:lang w:eastAsia="en-US"/>
    </w:rPr>
  </w:style>
  <w:style w:type="character" w:customStyle="1" w:styleId="38">
    <w:name w:val="Cabeçalho Char1"/>
    <w:basedOn w:val="10"/>
    <w:qFormat/>
    <w:uiPriority w:val="0"/>
    <w:rPr>
      <w:sz w:val="24"/>
      <w:szCs w:val="24"/>
    </w:rPr>
  </w:style>
  <w:style w:type="paragraph" w:customStyle="1" w:styleId="39">
    <w:name w:val="Table Paragraph"/>
    <w:basedOn w:val="1"/>
    <w:qFormat/>
    <w:uiPriority w:val="0"/>
    <w:pPr>
      <w:suppressAutoHyphens/>
      <w:autoSpaceDN w:val="0"/>
      <w:ind w:left="0" w:firstLine="0"/>
      <w:jc w:val="left"/>
    </w:pPr>
    <w:rPr>
      <w:szCs w:val="24"/>
      <w:lang w:val="pt-PT" w:eastAsia="en-US"/>
    </w:rPr>
  </w:style>
  <w:style w:type="paragraph" w:customStyle="1" w:styleId="40">
    <w:name w:val="Normal (Web)1"/>
    <w:basedOn w:val="1"/>
    <w:qFormat/>
    <w:uiPriority w:val="0"/>
    <w:pPr>
      <w:suppressAutoHyphens/>
      <w:autoSpaceDN w:val="0"/>
      <w:spacing w:after="160" w:line="249" w:lineRule="auto"/>
      <w:ind w:left="0" w:firstLine="0"/>
      <w:jc w:val="left"/>
    </w:pPr>
    <w:rPr>
      <w:rFonts w:eastAsia="SimSun"/>
      <w:sz w:val="22"/>
      <w:szCs w:val="24"/>
      <w:lang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jpe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864A3D-1684-4D5C-ACEA-1D074C088AF4}">
  <ds:schemaRefs/>
</ds:datastoreItem>
</file>

<file path=docProps/app.xml><?xml version="1.0" encoding="utf-8"?>
<Properties xmlns="http://schemas.openxmlformats.org/officeDocument/2006/extended-properties" xmlns:vt="http://schemas.openxmlformats.org/officeDocument/2006/docPropsVTypes">
  <Template>Normal</Template>
  <Pages>8</Pages>
  <Words>284</Words>
  <Characters>1534</Characters>
  <Lines>12</Lines>
  <Paragraphs>3</Paragraphs>
  <TotalTime>1</TotalTime>
  <ScaleCrop>false</ScaleCrop>
  <LinksUpToDate>false</LinksUpToDate>
  <CharactersWithSpaces>1815</CharactersWithSpaces>
  <Application>WPS Office_11.2.0.10443_F1E327BC-269C-435d-A152-05C5408002CA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2021-05-27T14:26:00Z</dcterms:created>
  <dc:creator>Jonathan Chaves</dc:creator>
  <cp:lastModifiedBy>mariana.topini</cp:lastModifiedBy>
  <cp:lastPrinted>2025-02-21T19:01:00Z</cp:lastPrinted>
  <dcterms:modified xsi:type="dcterms:W3CDTF">2026-04-13T12:52:50Z</dcterms:modified>
  <cp:revision>134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1046-11.2.0.10443</vt:lpwstr>
  </property>
  <property fmtid="{D5CDD505-2E9C-101B-9397-08002B2CF9AE}" pid="3" name="ICV">
    <vt:lpwstr>3EC217E8C3DA47BE95E010805C2433AB_12</vt:lpwstr>
  </property>
</Properties>
</file>